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CC" w:rsidRPr="00262ABE" w:rsidRDefault="003165A5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  <w:r w:rsidRPr="00262ABE">
        <w:rPr>
          <w:rFonts w:ascii="Tahoma" w:eastAsia="Times New Roman" w:hAnsi="Tahoma" w:cs="Tahoma"/>
          <w:b/>
        </w:rPr>
        <w:t xml:space="preserve">Общие условия </w:t>
      </w:r>
      <w:r w:rsidR="00CE2F5E">
        <w:rPr>
          <w:rFonts w:ascii="Tahoma" w:eastAsia="Times New Roman" w:hAnsi="Tahoma" w:cs="Tahoma"/>
          <w:b/>
        </w:rPr>
        <w:t>поставки</w:t>
      </w:r>
    </w:p>
    <w:p w:rsidR="00761A5E" w:rsidRDefault="00761A5E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</w:p>
    <w:p w:rsidR="00410688" w:rsidRPr="00262ABE" w:rsidRDefault="00410688" w:rsidP="001B48F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  <w:b/>
              </w:rPr>
              <w:t>Гарантийные обязательства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 w:rsidRPr="005F2C03">
              <w:rPr>
                <w:rFonts w:ascii="Tahoma" w:hAnsi="Tahoma" w:cs="Tahoma"/>
              </w:rPr>
              <w:t>1.1.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5F2C03">
            <w:pPr>
              <w:tabs>
                <w:tab w:val="left" w:pos="9261"/>
              </w:tabs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Гарантийный срок на поставляемые товары</w:t>
            </w:r>
            <w:r w:rsidRPr="00CD60D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указан в спецификации</w:t>
            </w:r>
            <w:r w:rsidRPr="00CD60D3">
              <w:rPr>
                <w:rFonts w:ascii="Tahoma" w:hAnsi="Tahoma" w:cs="Tahoma"/>
              </w:rPr>
              <w:t>.</w:t>
            </w:r>
          </w:p>
          <w:p w:rsidR="005F2C03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C95FBD">
              <w:rPr>
                <w:rFonts w:ascii="Tahoma" w:hAnsi="Tahoma" w:cs="Tahoma"/>
              </w:rPr>
              <w:t xml:space="preserve">Гарантия качества распространяется на весь </w:t>
            </w:r>
            <w:r>
              <w:rPr>
                <w:rFonts w:ascii="Tahoma" w:hAnsi="Tahoma" w:cs="Tahoma"/>
              </w:rPr>
              <w:t>товар</w:t>
            </w:r>
            <w:r w:rsidRPr="00C95FBD">
              <w:rPr>
                <w:rFonts w:ascii="Tahoma" w:hAnsi="Tahoma" w:cs="Tahoma"/>
              </w:rPr>
              <w:t xml:space="preserve"> в целом, включая все составляющие его части (комплектующие изделия).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 w:rsidRPr="005F2C03">
              <w:rPr>
                <w:rFonts w:ascii="Tahoma" w:hAnsi="Tahoma" w:cs="Tahoma"/>
              </w:rPr>
              <w:t>1.2.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5F2C03">
            <w:pPr>
              <w:tabs>
                <w:tab w:val="left" w:pos="9261"/>
              </w:tabs>
              <w:spacing w:before="120" w:after="120"/>
              <w:jc w:val="both"/>
              <w:rPr>
                <w:rFonts w:ascii="Tahoma" w:hAnsi="Tahoma" w:cs="Tahoma"/>
                <w:b/>
                <w:lang w:eastAsia="ru-RU"/>
              </w:rPr>
            </w:pPr>
            <w:r w:rsidRPr="00924175">
              <w:rPr>
                <w:rFonts w:ascii="Tahoma" w:hAnsi="Tahoma" w:cs="Tahoma"/>
              </w:rPr>
              <w:t xml:space="preserve">Все недостатки, выявленные при эксплуатации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 xml:space="preserve">ов в течение гарантийного срока, устраняются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>иком в течение 14</w:t>
            </w:r>
            <w:r>
              <w:rPr>
                <w:rFonts w:ascii="Tahoma" w:hAnsi="Tahoma" w:cs="Tahoma"/>
              </w:rPr>
              <w:t> </w:t>
            </w:r>
            <w:r w:rsidRPr="00924175">
              <w:rPr>
                <w:rFonts w:ascii="Tahoma" w:hAnsi="Tahoma" w:cs="Tahoma"/>
              </w:rPr>
              <w:t xml:space="preserve">календарных дней. При этом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 xml:space="preserve">ель в письменной форме сообщает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>ику о наличии таких недостатков в разумный срок после их выявления.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 w:rsidRPr="005F2C03">
              <w:rPr>
                <w:rFonts w:ascii="Tahoma" w:hAnsi="Tahoma" w:cs="Tahoma"/>
              </w:rPr>
              <w:t>1.3.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924175">
              <w:rPr>
                <w:rFonts w:ascii="Tahoma" w:hAnsi="Tahoma" w:cs="Tahoma"/>
              </w:rPr>
              <w:t xml:space="preserve">Если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 xml:space="preserve">ик в течение </w:t>
            </w:r>
            <w:r>
              <w:rPr>
                <w:rFonts w:ascii="Tahoma" w:hAnsi="Tahoma" w:cs="Tahoma"/>
              </w:rPr>
              <w:t xml:space="preserve">гарантийного </w:t>
            </w:r>
            <w:r w:rsidRPr="00924175">
              <w:rPr>
                <w:rFonts w:ascii="Tahoma" w:hAnsi="Tahoma" w:cs="Tahoma"/>
              </w:rPr>
              <w:t>срока</w:t>
            </w:r>
            <w:r>
              <w:rPr>
                <w:rFonts w:ascii="Tahoma" w:hAnsi="Tahoma" w:cs="Tahoma"/>
              </w:rPr>
              <w:t xml:space="preserve"> </w:t>
            </w:r>
            <w:r w:rsidRPr="00924175">
              <w:rPr>
                <w:rFonts w:ascii="Tahoma" w:hAnsi="Tahoma" w:cs="Tahoma"/>
              </w:rPr>
              <w:t>не устранит недостатки</w:t>
            </w:r>
            <w:r>
              <w:rPr>
                <w:rFonts w:ascii="Tahoma" w:hAnsi="Tahoma" w:cs="Tahoma"/>
              </w:rPr>
              <w:t xml:space="preserve"> </w:t>
            </w:r>
            <w:r w:rsidRPr="00924175">
              <w:rPr>
                <w:rFonts w:ascii="Tahoma" w:hAnsi="Tahoma" w:cs="Tahoma"/>
              </w:rPr>
              <w:t xml:space="preserve">или не заменит дефектные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 xml:space="preserve">ы, то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 xml:space="preserve">ель вправе заменить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>ы, устранить недостатки собственными силами или силами других привлеченных организаций.</w:t>
            </w:r>
            <w:bookmarkStart w:id="0" w:name="_GoBack"/>
            <w:bookmarkEnd w:id="0"/>
          </w:p>
          <w:p w:rsidR="005F2C03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924175">
              <w:rPr>
                <w:rFonts w:ascii="Tahoma" w:hAnsi="Tahoma" w:cs="Tahoma"/>
              </w:rPr>
              <w:t xml:space="preserve">В этом случае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 xml:space="preserve">ель вправе возместить свои затраты по устранению недостатков путем предъявления требования об оплате затрат непосредственно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>ику, который обязан в течение 10</w:t>
            </w:r>
            <w:r>
              <w:rPr>
                <w:rFonts w:ascii="Tahoma" w:hAnsi="Tahoma" w:cs="Tahoma"/>
              </w:rPr>
              <w:t xml:space="preserve"> </w:t>
            </w:r>
            <w:r w:rsidRPr="00924175">
              <w:rPr>
                <w:rFonts w:ascii="Tahoma" w:hAnsi="Tahoma" w:cs="Tahoma"/>
              </w:rPr>
              <w:t xml:space="preserve">календарных дней, считая с даты предъявления соответствующего требования, оплатить затраты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>еля по устранению недостатков на основании счета на оплату и калькуляции затрат.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1.4.</w:t>
            </w:r>
          </w:p>
        </w:tc>
        <w:tc>
          <w:tcPr>
            <w:tcW w:w="8363" w:type="dxa"/>
            <w:shd w:val="clear" w:color="auto" w:fill="auto"/>
          </w:tcPr>
          <w:p w:rsidR="005F2C03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924175">
              <w:rPr>
                <w:rFonts w:ascii="Tahoma" w:hAnsi="Tahoma" w:cs="Tahoma"/>
              </w:rPr>
              <w:t xml:space="preserve">В случае невозможности устранения выявленных недостатков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 xml:space="preserve">ик производит замену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 xml:space="preserve">ов ненадлежащего качества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 xml:space="preserve">ами, соответствующими </w:t>
            </w:r>
            <w:r>
              <w:rPr>
                <w:rFonts w:ascii="Tahoma" w:hAnsi="Tahoma" w:cs="Tahoma"/>
              </w:rPr>
              <w:t>договор</w:t>
            </w:r>
            <w:r w:rsidRPr="00924175">
              <w:rPr>
                <w:rFonts w:ascii="Tahoma" w:hAnsi="Tahoma" w:cs="Tahoma"/>
              </w:rPr>
              <w:t xml:space="preserve">у, в сроки, согласованные с </w:t>
            </w:r>
            <w:r>
              <w:rPr>
                <w:rFonts w:ascii="Tahoma" w:hAnsi="Tahoma" w:cs="Tahoma"/>
              </w:rPr>
              <w:t>покупат</w:t>
            </w:r>
            <w:r w:rsidRPr="00924175">
              <w:rPr>
                <w:rFonts w:ascii="Tahoma" w:hAnsi="Tahoma" w:cs="Tahoma"/>
              </w:rPr>
              <w:t>елем.</w:t>
            </w:r>
          </w:p>
          <w:p w:rsidR="005F2C03" w:rsidRPr="00924175" w:rsidRDefault="005F2C03" w:rsidP="005F2C03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924175">
              <w:rPr>
                <w:rFonts w:ascii="Tahoma" w:hAnsi="Tahoma" w:cs="Tahoma"/>
              </w:rPr>
              <w:t xml:space="preserve">При этом </w:t>
            </w:r>
            <w:r>
              <w:rPr>
                <w:rFonts w:ascii="Tahoma" w:hAnsi="Tahoma" w:cs="Tahoma"/>
              </w:rPr>
              <w:t>г</w:t>
            </w:r>
            <w:r w:rsidRPr="00924175">
              <w:rPr>
                <w:rFonts w:ascii="Tahoma" w:hAnsi="Tahoma" w:cs="Tahoma"/>
              </w:rPr>
              <w:t xml:space="preserve">арантийный срок в отношении новых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>ов, поставленных взамен дефектных, начинает отсчитываться вновь с даты их замены.</w:t>
            </w:r>
          </w:p>
        </w:tc>
      </w:tr>
      <w:tr w:rsidR="005F2C03" w:rsidRPr="008A2449" w:rsidTr="005F2C03">
        <w:tc>
          <w:tcPr>
            <w:tcW w:w="1560" w:type="dxa"/>
            <w:shd w:val="clear" w:color="auto" w:fill="auto"/>
          </w:tcPr>
          <w:p w:rsidR="005F2C03" w:rsidRPr="005F2C03" w:rsidRDefault="005F2C03" w:rsidP="005F2C03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1.5.</w:t>
            </w:r>
          </w:p>
        </w:tc>
        <w:tc>
          <w:tcPr>
            <w:tcW w:w="8363" w:type="dxa"/>
            <w:shd w:val="clear" w:color="auto" w:fill="auto"/>
          </w:tcPr>
          <w:p w:rsidR="005F2C03" w:rsidRPr="00924175" w:rsidRDefault="005F2C03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924175">
              <w:rPr>
                <w:rFonts w:ascii="Tahoma" w:hAnsi="Tahoma" w:cs="Tahoma"/>
              </w:rPr>
              <w:t xml:space="preserve">Расходы на транспортировку </w:t>
            </w:r>
            <w:r>
              <w:rPr>
                <w:rFonts w:ascii="Tahoma" w:hAnsi="Tahoma" w:cs="Tahoma"/>
              </w:rPr>
              <w:t>товар</w:t>
            </w:r>
            <w:r w:rsidRPr="00924175">
              <w:rPr>
                <w:rFonts w:ascii="Tahoma" w:hAnsi="Tahoma" w:cs="Tahoma"/>
              </w:rPr>
              <w:t>ов ненадлежащего качества в целях исполнения гарантийных обязательств, предусмотренных в</w:t>
            </w:r>
            <w:r>
              <w:rPr>
                <w:rFonts w:ascii="Tahoma" w:hAnsi="Tahoma" w:cs="Tahoma"/>
              </w:rPr>
              <w:t xml:space="preserve"> договоре</w:t>
            </w:r>
            <w:r w:rsidRPr="00924175">
              <w:rPr>
                <w:rFonts w:ascii="Tahoma" w:hAnsi="Tahoma" w:cs="Tahoma"/>
              </w:rPr>
              <w:t xml:space="preserve">, несёт </w:t>
            </w:r>
            <w:r>
              <w:rPr>
                <w:rFonts w:ascii="Tahoma" w:hAnsi="Tahoma" w:cs="Tahoma"/>
              </w:rPr>
              <w:t>поставщ</w:t>
            </w:r>
            <w:r w:rsidRPr="00924175">
              <w:rPr>
                <w:rFonts w:ascii="Tahoma" w:hAnsi="Tahoma" w:cs="Tahoma"/>
              </w:rPr>
              <w:t>ик.</w:t>
            </w:r>
          </w:p>
        </w:tc>
      </w:tr>
    </w:tbl>
    <w:p w:rsidR="005F2C03" w:rsidRDefault="005F2C03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410688" w:rsidRPr="008A2449" w:rsidTr="005F2C03">
        <w:tc>
          <w:tcPr>
            <w:tcW w:w="1560" w:type="dxa"/>
            <w:shd w:val="clear" w:color="auto" w:fill="auto"/>
          </w:tcPr>
          <w:p w:rsidR="00410688" w:rsidRPr="005F2C03" w:rsidRDefault="005F2C03" w:rsidP="005F2C03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:rsidR="00410688" w:rsidRPr="008A2449" w:rsidRDefault="00F376D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  <w:b/>
                <w:lang w:eastAsia="ru-RU"/>
              </w:rPr>
              <w:t>Оформление документации</w:t>
            </w:r>
          </w:p>
        </w:tc>
      </w:tr>
      <w:tr w:rsidR="00410688" w:rsidRPr="008A2449" w:rsidTr="005F2C03">
        <w:tc>
          <w:tcPr>
            <w:tcW w:w="1560" w:type="dxa"/>
            <w:shd w:val="clear" w:color="auto" w:fill="auto"/>
          </w:tcPr>
          <w:p w:rsidR="00410688" w:rsidRPr="00F376D4" w:rsidRDefault="005F2C03" w:rsidP="00B91567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376D4" w:rsidRPr="00F376D4">
              <w:rPr>
                <w:rFonts w:ascii="Tahoma" w:hAnsi="Tahoma" w:cs="Tahoma"/>
              </w:rPr>
              <w:t>.1.</w:t>
            </w:r>
          </w:p>
        </w:tc>
        <w:tc>
          <w:tcPr>
            <w:tcW w:w="8363" w:type="dxa"/>
            <w:shd w:val="clear" w:color="auto" w:fill="auto"/>
          </w:tcPr>
          <w:p w:rsidR="00410688" w:rsidRPr="008A2449" w:rsidRDefault="00F376D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>
              <w:rPr>
                <w:rFonts w:ascii="Tahoma" w:hAnsi="Tahoma" w:cs="Tahoma"/>
              </w:rPr>
              <w:t>В случае подписания первичной (ТОРГ-12/УПД и пр.), технической или иной документации, передаваемой покупателю в рамках исполнения договора, представителем поставщика, который действует на основании доверенности, поставщик обязан передать покупателю в составе передаваемой документации заверенную в установленном порядке копию доверенности на представителя поставщика, являющегося подписантом указанной документации.</w:t>
            </w:r>
          </w:p>
        </w:tc>
      </w:tr>
      <w:tr w:rsidR="00F376D4" w:rsidRPr="008A2449" w:rsidTr="005F2C03">
        <w:tc>
          <w:tcPr>
            <w:tcW w:w="1560" w:type="dxa"/>
            <w:shd w:val="clear" w:color="auto" w:fill="auto"/>
          </w:tcPr>
          <w:p w:rsidR="00F376D4" w:rsidRPr="00F376D4" w:rsidRDefault="005F2C03" w:rsidP="00B91567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F376D4" w:rsidRPr="00F376D4">
              <w:rPr>
                <w:rFonts w:ascii="Tahoma" w:hAnsi="Tahoma" w:cs="Tahoma"/>
              </w:rPr>
              <w:t>.2.</w:t>
            </w:r>
          </w:p>
        </w:tc>
        <w:tc>
          <w:tcPr>
            <w:tcW w:w="8363" w:type="dxa"/>
            <w:shd w:val="clear" w:color="auto" w:fill="auto"/>
          </w:tcPr>
          <w:p w:rsidR="00F376D4" w:rsidRDefault="00F376D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 оформлении первичной (ТОРГ-12/УПД и пр.) документации в рамках исполнения договора поставщик обязан обеспечить соответствие указанных в ней наименований и номенклатуры поставляемого товара данным, указанным в спецификации к договору.</w:t>
            </w:r>
          </w:p>
        </w:tc>
      </w:tr>
      <w:tr w:rsidR="00201130" w:rsidRPr="008A2449" w:rsidTr="005F2C03">
        <w:tc>
          <w:tcPr>
            <w:tcW w:w="1560" w:type="dxa"/>
            <w:shd w:val="clear" w:color="auto" w:fill="auto"/>
          </w:tcPr>
          <w:p w:rsidR="00201130" w:rsidRDefault="00201130" w:rsidP="00B91567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2.3.</w:t>
            </w:r>
          </w:p>
        </w:tc>
        <w:tc>
          <w:tcPr>
            <w:tcW w:w="8363" w:type="dxa"/>
            <w:shd w:val="clear" w:color="auto" w:fill="auto"/>
          </w:tcPr>
          <w:p w:rsidR="00201130" w:rsidRDefault="00201130" w:rsidP="00201130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Поставщ</w:t>
            </w:r>
            <w:r w:rsidRPr="00CD60D3">
              <w:rPr>
                <w:rFonts w:ascii="Tahoma" w:hAnsi="Tahoma" w:cs="Tahoma"/>
              </w:rPr>
              <w:t>ик в соответствии с требованиями НК РФ выставляет счета-фактуры не позднее 5</w:t>
            </w:r>
            <w:r>
              <w:rPr>
                <w:rFonts w:ascii="Tahoma" w:hAnsi="Tahoma" w:cs="Tahoma"/>
              </w:rPr>
              <w:t xml:space="preserve"> </w:t>
            </w:r>
            <w:r w:rsidRPr="00CD60D3">
              <w:rPr>
                <w:rFonts w:ascii="Tahoma" w:hAnsi="Tahoma" w:cs="Tahoma"/>
              </w:rPr>
              <w:t xml:space="preserve">календарных дней, считая со </w:t>
            </w:r>
            <w:r>
              <w:rPr>
                <w:rFonts w:ascii="Tahoma" w:hAnsi="Tahoma" w:cs="Tahoma"/>
              </w:rPr>
              <w:t>дня поставки товаров (п. 3 ст. 168 </w:t>
            </w:r>
            <w:r w:rsidRPr="00CD60D3">
              <w:rPr>
                <w:rFonts w:ascii="Tahoma" w:hAnsi="Tahoma" w:cs="Tahoma"/>
              </w:rPr>
              <w:t>НК РФ)</w:t>
            </w:r>
            <w:r>
              <w:rPr>
                <w:rFonts w:ascii="Tahoma" w:hAnsi="Tahoma" w:cs="Tahoma"/>
              </w:rPr>
              <w:t xml:space="preserve">, </w:t>
            </w:r>
            <w:r w:rsidRPr="00C437CD">
              <w:rPr>
                <w:rFonts w:ascii="Tahoma" w:hAnsi="Tahoma" w:cs="Tahoma"/>
              </w:rPr>
              <w:t>но не позднее 2-го числа месяца, следующего за отчетным</w:t>
            </w:r>
            <w:r w:rsidRPr="00CD60D3">
              <w:rPr>
                <w:rFonts w:ascii="Tahoma" w:hAnsi="Tahoma" w:cs="Tahoma"/>
              </w:rPr>
              <w:t>.</w:t>
            </w:r>
          </w:p>
          <w:p w:rsidR="00201130" w:rsidRDefault="00201130" w:rsidP="00201130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</w:rPr>
            </w:pPr>
            <w:r w:rsidRPr="00CD60D3">
              <w:rPr>
                <w:rFonts w:ascii="Tahoma" w:hAnsi="Tahoma" w:cs="Tahoma"/>
              </w:rPr>
              <w:lastRenderedPageBreak/>
              <w:t xml:space="preserve">В случае если сумма НДС к оплате не предъявляется либо в случае применения </w:t>
            </w:r>
            <w:r>
              <w:rPr>
                <w:rFonts w:ascii="Tahoma" w:hAnsi="Tahoma" w:cs="Tahoma"/>
              </w:rPr>
              <w:t>поставщ</w:t>
            </w:r>
            <w:r w:rsidRPr="00CD60D3">
              <w:rPr>
                <w:rFonts w:ascii="Tahoma" w:hAnsi="Tahoma" w:cs="Tahoma"/>
              </w:rPr>
              <w:t>иком УПД, счёт-фактура не выставляется.</w:t>
            </w:r>
          </w:p>
        </w:tc>
      </w:tr>
    </w:tbl>
    <w:p w:rsidR="00495936" w:rsidRDefault="00495936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Default="00B64B55" w:rsidP="001B48F5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1B48F5">
              <w:rPr>
                <w:rFonts w:ascii="Tahoma" w:hAnsi="Tahoma" w:cs="Tahoma"/>
                <w:b/>
              </w:rPr>
              <w:t>.</w:t>
            </w:r>
          </w:p>
          <w:p w:rsidR="00E3752C" w:rsidRPr="00E3752C" w:rsidRDefault="00E3752C" w:rsidP="00E3752C">
            <w:pPr>
              <w:spacing w:before="120" w:after="120"/>
              <w:rPr>
                <w:rFonts w:ascii="Tahoma" w:hAnsi="Tahoma" w:cs="Tahoma"/>
              </w:rPr>
            </w:pP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Критическое условие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 xml:space="preserve"> 3</w:t>
            </w: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.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1</w:t>
            </w: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. 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  <w:lang w:eastAsia="ru-RU"/>
              </w:rPr>
              <w:t>Конфиденциальность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3.1.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Каждая из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 обязана обеспечить защиту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к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онфиденциальной информации, ставшей доступной ей в рамках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а, от несанкционированного использования, распространения или публикации.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3.2.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Для целей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термин «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к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онфиденциальная информация» означает любую информацию по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</w:t>
            </w:r>
            <w:r w:rsidR="00EE373E" w:rsidRPr="008A2449">
              <w:rPr>
                <w:rFonts w:ascii="Tahoma" w:eastAsia="Times New Roman" w:hAnsi="Tahoma" w:cs="Tahoma"/>
                <w:lang w:eastAsia="ru-RU"/>
              </w:rPr>
              <w:t>ую требованиям законодательства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, или информация, прямо названная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торонами конфиденциальной.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3.3.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Защита конфиденциальной информации должна обеспечиваться в период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а, в течение трех лет после окончания его действия, а в отношении секрета производства – до тех пор, пока сохраняется конфиденциальность сведений, составляющих его содержание. Соответствующая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торона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несет ответственность за действия (бездействие) своих работников и иных лиц, получивших доступ к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к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онфиденциальной информации.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3.4.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Обязательства по соблюдению конфиденциальности, предусмотренные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ом, не затрагивают случаи предоставления информации государственным органам власти в порядке, установленном законодательством РФ, а также не будут распространяться на общедоступную информацию, которая становится известна третьим лицам не по вине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3.5.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Убытки, вызванные нарушением условий конфиденциальности, определяются и возмещаются в с</w:t>
            </w:r>
            <w:r w:rsidR="00EE373E" w:rsidRPr="008A2449">
              <w:rPr>
                <w:rFonts w:ascii="Tahoma" w:eastAsia="Times New Roman" w:hAnsi="Tahoma" w:cs="Tahoma"/>
                <w:lang w:eastAsia="ru-RU"/>
              </w:rPr>
              <w:t>оответствии с законодательством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</w:tbl>
    <w:p w:rsidR="00B64B55" w:rsidRDefault="00B64B55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3165A5" w:rsidRPr="008A2449" w:rsidTr="00E3752C">
        <w:tc>
          <w:tcPr>
            <w:tcW w:w="1560" w:type="dxa"/>
            <w:shd w:val="clear" w:color="auto" w:fill="F6FAF4"/>
          </w:tcPr>
          <w:p w:rsidR="003165A5" w:rsidRDefault="00B64B55" w:rsidP="00B64B55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4.</w:t>
            </w:r>
          </w:p>
          <w:p w:rsidR="00E3752C" w:rsidRPr="00B64B55" w:rsidRDefault="00E3752C" w:rsidP="00E3752C">
            <w:pPr>
              <w:spacing w:before="120" w:after="120"/>
              <w:rPr>
                <w:rFonts w:ascii="Tahoma" w:hAnsi="Tahoma" w:cs="Tahoma"/>
                <w:b/>
              </w:rPr>
            </w:pP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Критическое условие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7</w:t>
            </w: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.</w:t>
            </w:r>
            <w:r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1</w:t>
            </w:r>
            <w:r w:rsidRPr="00E3752C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. 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3165A5" w:rsidRPr="008A2449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b/>
              </w:rPr>
              <w:t>Антикоррупционная оговорка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4.1.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При исполнении своих обязательств по </w:t>
            </w:r>
            <w:r w:rsidR="000B6ADB" w:rsidRPr="008A2449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 </w:t>
            </w:r>
            <w:r w:rsidR="000B6ADB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тороны, их аффилированные лица, работники или посредники не выплачивают, не предлагают выплатить и не разрешают выплату денежных средств или ценностей, прямо или косвенно, любым лицам, для оказания влияния на действия или решения этих лиц с целью получить неправомерные преимущества или иные неправомерные цели.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4.2.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При исполнении обязательств по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 </w:t>
            </w:r>
            <w:r w:rsidR="000B6ADB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тороны, их аффилированные лица, работники или посредники не осуществляют действия, квалифицируемые применимым для целей </w:t>
            </w:r>
            <w:r w:rsidR="000B6ADB" w:rsidRPr="008A2449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4.3.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Каждая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торона отказывается от стимулирования работников другой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 и направленного на обеспечение выполнения этим работником д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ействий в пользу стимулирующей 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тороны.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Под действиями работника, осуществляемыми в пользу стимулирующей его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тороны, понимаются: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предоставление неоправданных преимуществ по сравнению с другими контрагентами;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предоставление каких-либо гарантий;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ускорение существующих процедур;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торонами.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4.5.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В случае возникновения у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тороны подозрений, что произошло или может произойти нарушение статьи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а, соответствующая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торона обязуется уведомить другую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торону в письменной форме. В письменном уведомлении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настоящей статьи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а. После направления письменного уведомления соответствующая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торона имеет право приостановить исполнение обязательств по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у до получения от другой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>тороны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4.6.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Стороны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а признают проведение процедур по предотвращению коррупции и контролируют их соблюдение. При этом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тороны обеспечивают реализацию процедур по проведению проверок в целях предотвращения рисков вовлечения </w:t>
            </w:r>
            <w:r w:rsidR="004F4E0D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>торон в коррупционную деятельность.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4.7.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Стороны гарантируют осуществление надлежащего разбирательства по представленным в рамках исполнения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4.8.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Стороны гарантируют полную конфиденциальность по вопросам исполнения настоящей статьи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а, а также отсутствие негативных последствий как для обращающейся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тороны в целом, так и для конкретных работников обращающейся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>тороны, сообщивших о факте нарушений.</w:t>
            </w:r>
          </w:p>
        </w:tc>
      </w:tr>
      <w:tr w:rsidR="00635EB1" w:rsidRPr="008A2449" w:rsidTr="00E3752C">
        <w:tc>
          <w:tcPr>
            <w:tcW w:w="1560" w:type="dxa"/>
            <w:shd w:val="clear" w:color="auto" w:fill="F6FAF4"/>
          </w:tcPr>
          <w:p w:rsidR="00635EB1" w:rsidRPr="00B64B55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B64B55">
              <w:rPr>
                <w:rFonts w:ascii="Tahoma" w:hAnsi="Tahoma" w:cs="Tahoma"/>
                <w:b w:val="0"/>
                <w:sz w:val="22"/>
                <w:szCs w:val="22"/>
              </w:rPr>
              <w:t>4.9.</w:t>
            </w:r>
          </w:p>
        </w:tc>
        <w:tc>
          <w:tcPr>
            <w:tcW w:w="8363" w:type="dxa"/>
            <w:shd w:val="clear" w:color="auto" w:fill="F6FAF4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В случае нарушения одной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тороной обязательств воздерживаться от запрещенных в настоящей статье действий и/или неполучения другой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тороной в установленный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ом срок подтверждения, что нарушения не произошло или не произойдет, другая </w:t>
            </w:r>
            <w:r w:rsidR="000B6ADB" w:rsidRPr="008A2449">
              <w:rPr>
                <w:rFonts w:ascii="Tahoma" w:hAnsi="Tahoma" w:cs="Tahoma"/>
                <w:lang w:eastAsia="ru-RU"/>
              </w:rPr>
              <w:t>с</w:t>
            </w:r>
            <w:r w:rsidRPr="008A2449">
              <w:rPr>
                <w:rFonts w:ascii="Tahoma" w:hAnsi="Tahoma" w:cs="Tahoma"/>
                <w:lang w:eastAsia="ru-RU"/>
              </w:rPr>
              <w:t xml:space="preserve">торона может расторгнуть </w:t>
            </w:r>
            <w:r w:rsidR="000B6ADB" w:rsidRPr="008A2449">
              <w:rPr>
                <w:rFonts w:ascii="Tahoma" w:hAnsi="Tahoma" w:cs="Tahoma"/>
                <w:lang w:eastAsia="ru-RU"/>
              </w:rPr>
              <w:t>д</w:t>
            </w:r>
            <w:r w:rsidR="00090C53" w:rsidRPr="008A2449">
              <w:rPr>
                <w:rFonts w:ascii="Tahoma" w:hAnsi="Tahoma" w:cs="Tahoma"/>
                <w:lang w:eastAsia="ru-RU"/>
              </w:rPr>
              <w:t>оговор</w:t>
            </w:r>
            <w:r w:rsidRPr="008A2449">
              <w:rPr>
                <w:rFonts w:ascii="Tahoma" w:hAnsi="Tahoma" w:cs="Tahoma"/>
                <w:lang w:eastAsia="ru-RU"/>
              </w:rPr>
              <w:t xml:space="preserve"> в установленном законом порядке. Сторона, по чьей инициативе по основаниям, предусмотренным положениями настоящей статьи, был расторгнут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Pr="008A2449">
              <w:rPr>
                <w:rFonts w:ascii="Tahoma" w:hAnsi="Tahoma" w:cs="Tahoma"/>
                <w:lang w:eastAsia="ru-RU"/>
              </w:rPr>
              <w:t>, вправе требовать возмещения реального ущерба, возникшего в результате такого расторжения.</w:t>
            </w:r>
          </w:p>
        </w:tc>
      </w:tr>
    </w:tbl>
    <w:p w:rsidR="00776979" w:rsidRDefault="00776979"/>
    <w:p w:rsidR="00124F7D" w:rsidRDefault="00124F7D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35EB1" w:rsidRPr="008A2449" w:rsidTr="00B64B55">
        <w:tc>
          <w:tcPr>
            <w:tcW w:w="1560" w:type="dxa"/>
            <w:shd w:val="clear" w:color="auto" w:fill="auto"/>
          </w:tcPr>
          <w:p w:rsidR="00635EB1" w:rsidRPr="00B64B55" w:rsidRDefault="00B64B55" w:rsidP="00B64B55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5.</w:t>
            </w:r>
          </w:p>
        </w:tc>
        <w:tc>
          <w:tcPr>
            <w:tcW w:w="8363" w:type="dxa"/>
            <w:shd w:val="clear" w:color="auto" w:fill="auto"/>
          </w:tcPr>
          <w:p w:rsidR="00635EB1" w:rsidRPr="008A2449" w:rsidRDefault="00733C30" w:rsidP="001B48F5">
            <w:pPr>
              <w:spacing w:before="120" w:after="120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З</w:t>
            </w:r>
            <w:r w:rsidR="008B7B77" w:rsidRPr="008A2449">
              <w:rPr>
                <w:rFonts w:ascii="Tahoma" w:hAnsi="Tahoma" w:cs="Tahoma"/>
                <w:b/>
              </w:rPr>
              <w:t xml:space="preserve">аверения об </w:t>
            </w:r>
            <w:r w:rsidR="00AA37C6" w:rsidRPr="008A2449">
              <w:rPr>
                <w:rFonts w:ascii="Tahoma" w:hAnsi="Tahoma" w:cs="Tahoma"/>
                <w:b/>
              </w:rPr>
              <w:t>обстоятельствах</w:t>
            </w:r>
          </w:p>
        </w:tc>
      </w:tr>
      <w:tr w:rsidR="00733C30" w:rsidRPr="008A2449" w:rsidTr="00495936">
        <w:tc>
          <w:tcPr>
            <w:tcW w:w="1560" w:type="dxa"/>
          </w:tcPr>
          <w:p w:rsidR="00733C30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5.1.</w:t>
            </w:r>
          </w:p>
        </w:tc>
        <w:tc>
          <w:tcPr>
            <w:tcW w:w="8363" w:type="dxa"/>
          </w:tcPr>
          <w:p w:rsidR="00776979" w:rsidRDefault="00776979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  <w:lang w:eastAsia="ru-RU"/>
              </w:rPr>
              <w:t>Общие заверения об обстоятельствах</w:t>
            </w:r>
          </w:p>
          <w:p w:rsidR="00733C30" w:rsidRPr="008A2449" w:rsidRDefault="00086B8B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t>С</w:t>
            </w:r>
            <w:r w:rsidR="00733C30" w:rsidRPr="008A2449">
              <w:rPr>
                <w:rFonts w:ascii="Tahoma" w:hAnsi="Tahoma" w:cs="Tahoma"/>
                <w:lang w:eastAsia="ru-RU"/>
              </w:rPr>
              <w:t xml:space="preserve">тороны заверяют </w:t>
            </w:r>
            <w:r w:rsidR="001E5955" w:rsidRPr="008A2449">
              <w:rPr>
                <w:rFonts w:ascii="Tahoma" w:hAnsi="Tahoma" w:cs="Tahoma"/>
                <w:lang w:eastAsia="ru-RU"/>
              </w:rPr>
              <w:t xml:space="preserve">и гарантируют </w:t>
            </w:r>
            <w:r w:rsidR="00733C30" w:rsidRPr="008A2449">
              <w:rPr>
                <w:rFonts w:ascii="Tahoma" w:hAnsi="Tahoma" w:cs="Tahoma"/>
                <w:lang w:eastAsia="ru-RU"/>
              </w:rPr>
              <w:t>друг друг</w:t>
            </w:r>
            <w:r w:rsidR="001E5955" w:rsidRPr="008A2449">
              <w:rPr>
                <w:rFonts w:ascii="Tahoma" w:hAnsi="Tahoma" w:cs="Tahoma"/>
                <w:lang w:eastAsia="ru-RU"/>
              </w:rPr>
              <w:t>у</w:t>
            </w:r>
            <w:r w:rsidR="00733C30" w:rsidRPr="008A2449">
              <w:rPr>
                <w:rFonts w:ascii="Tahoma" w:hAnsi="Tahoma" w:cs="Tahoma"/>
                <w:lang w:eastAsia="ru-RU"/>
              </w:rPr>
              <w:t xml:space="preserve">, что обстоятельства, указанные </w:t>
            </w:r>
            <w:r w:rsidR="001E5955" w:rsidRPr="008A2449">
              <w:rPr>
                <w:rFonts w:ascii="Tahoma" w:hAnsi="Tahoma" w:cs="Tahoma"/>
                <w:lang w:eastAsia="ru-RU"/>
              </w:rPr>
              <w:t>ниже</w:t>
            </w:r>
            <w:r w:rsidR="00733C30" w:rsidRPr="008A2449">
              <w:rPr>
                <w:rFonts w:ascii="Tahoma" w:hAnsi="Tahoma" w:cs="Tahoma"/>
                <w:lang w:eastAsia="ru-RU"/>
              </w:rPr>
              <w:t xml:space="preserve">, а также прямо упомянутые в качестве заверений в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="00733C30" w:rsidRPr="008A2449">
              <w:rPr>
                <w:rFonts w:ascii="Tahoma" w:hAnsi="Tahoma" w:cs="Tahoma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="00733C30" w:rsidRPr="008A2449">
              <w:rPr>
                <w:rFonts w:ascii="Tahoma" w:hAnsi="Tahoma" w:cs="Tahoma"/>
                <w:lang w:eastAsia="ru-RU"/>
              </w:rPr>
              <w:t>а: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сторона обладает правоспособностью для заключения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а, а также исполнения своих обязательств по нему;</w:t>
            </w:r>
          </w:p>
          <w:p w:rsidR="004C0D6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сторона выполнила все требования по одобрению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,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утверждению,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 уведомлению,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получению согласия на заключение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а</w:t>
            </w:r>
            <w:r w:rsidRPr="008A2449">
              <w:rPr>
                <w:rFonts w:ascii="Tahoma" w:eastAsia="Times New Roman" w:hAnsi="Tahoma" w:cs="Tahoma"/>
                <w:lang w:eastAsia="ru-RU"/>
              </w:rPr>
              <w:t>, если это требуется в соответствии с законодательством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, учредительными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или 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внутренними документами стороны;</w:t>
            </w:r>
            <w:r w:rsidR="004C0D69" w:rsidRPr="008A2449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4C0D69" w:rsidRPr="008A2449" w:rsidRDefault="004C0D6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все разрешения, согласия и одобрения государственных и иных органов, которые сторона обязана получить для заключения и исполнения договора, были ею получены, имеют юридическую силу и являются действительными, и все их условия соблюдаются; 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все выше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указанные необходимые одобрения, 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утверждения, 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уведомления, согласия на заключение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а исполнены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стороной в установленном порядке и могут быть предоставлены другой стороне по ее запросу;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сторона предприняла все действия по надлежащему оформлению полномочий лиц на заключение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а; лица, подписывающие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от имени этой стороны, уполномочены совершить такие действия;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заключение и исполнение стороной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не противоречит законодательству, учредит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>ельным и внутренним документам этой стороны</w:t>
            </w:r>
            <w:r w:rsidRPr="008A2449"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против стороны не подано заявлений в суд, </w:t>
            </w:r>
            <w:r w:rsidR="001E5955" w:rsidRPr="008A2449">
              <w:rPr>
                <w:rFonts w:ascii="Tahoma" w:eastAsia="Times New Roman" w:hAnsi="Tahoma" w:cs="Tahoma"/>
                <w:lang w:eastAsia="ru-RU"/>
              </w:rPr>
              <w:t xml:space="preserve">государственный или иной орган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и отсутствуют любые иные обстоятельства, которые могут привести к недействительности или повлиять на способность этой стороны надлежащим образом исполнять свои обязательства;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финансовое состояние стороны не отвечает признакам несостоятельности (банкротства)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,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заключение и исполнение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не создает угрозы возникновения указанных обстоятельств;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все хозяйственные операции стороны являются реальными и отражаются в отчетности в установленном законодательством порядке; сторона своевременно уплачивает все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 xml:space="preserve">необходимые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налоги и сборы;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отсутствуют обстоятельства, свидетельствующие о заключении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на невыгодных или несп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раведливых для стороны условиях,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условия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не обременительны и не нарушают баланс интересов сторон;</w:t>
            </w:r>
          </w:p>
          <w:p w:rsidR="00733C30" w:rsidRPr="008A2449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отсутствует конфликт интересов у стороны, ее работников или лиц, привлекаемых ею к исполнению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(далее – заинтересованные лица), под которым понимается ситуация, при которой заинтересованность влияет или может повлиять на надлежащее исполнение обязанностей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по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у</w:t>
            </w:r>
            <w:r w:rsidRPr="008A2449">
              <w:rPr>
                <w:rFonts w:ascii="Tahoma" w:eastAsia="Times New Roman" w:hAnsi="Tahoma" w:cs="Tahoma"/>
                <w:lang w:eastAsia="ru-RU"/>
              </w:rPr>
              <w:t>, и при которой возникает или может возникнуть противоречие между заинтересованн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ым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лиц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и интересами другой стороны, способное привести к причинению вреда правам и законным интересам, имуществу и/или деловой репутации этой другой стороны;</w:t>
            </w:r>
          </w:p>
          <w:p w:rsidR="00B64B55" w:rsidRPr="008A2449" w:rsidRDefault="00733C30" w:rsidP="008C6F20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776979">
              <w:rPr>
                <w:rFonts w:ascii="Tahoma" w:eastAsia="Times New Roman" w:hAnsi="Tahoma" w:cs="Tahoma"/>
                <w:lang w:eastAsia="ru-RU"/>
              </w:rPr>
              <w:t xml:space="preserve">каждый документ, представленный стороной </w:t>
            </w:r>
            <w:r w:rsidR="0061518A" w:rsidRPr="00776979">
              <w:rPr>
                <w:rFonts w:ascii="Tahoma" w:eastAsia="Times New Roman" w:hAnsi="Tahoma" w:cs="Tahoma"/>
                <w:lang w:eastAsia="ru-RU"/>
              </w:rPr>
              <w:t>в любой форме</w:t>
            </w:r>
            <w:r w:rsidRPr="00776979">
              <w:rPr>
                <w:rFonts w:ascii="Tahoma" w:eastAsia="Times New Roman" w:hAnsi="Tahoma" w:cs="Tahoma"/>
                <w:lang w:eastAsia="ru-RU"/>
              </w:rPr>
              <w:t>, является достоверным и действитель</w:t>
            </w:r>
            <w:r w:rsidR="0061518A" w:rsidRPr="00776979">
              <w:rPr>
                <w:rFonts w:ascii="Tahoma" w:eastAsia="Times New Roman" w:hAnsi="Tahoma" w:cs="Tahoma"/>
                <w:lang w:eastAsia="ru-RU"/>
              </w:rPr>
              <w:t>ным на дату его предоставления</w:t>
            </w:r>
            <w:r w:rsidRPr="00776979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  <w:tr w:rsidR="00635EB1" w:rsidRPr="008A2449" w:rsidTr="00495936">
        <w:tc>
          <w:tcPr>
            <w:tcW w:w="1560" w:type="dxa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5.2.</w:t>
            </w:r>
          </w:p>
        </w:tc>
        <w:tc>
          <w:tcPr>
            <w:tcW w:w="8363" w:type="dxa"/>
          </w:tcPr>
          <w:p w:rsidR="00776979" w:rsidRDefault="00776979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  <w:lang w:eastAsia="ru-RU"/>
              </w:rPr>
              <w:t>Заверения об обстоятельствах контрагента</w:t>
            </w:r>
          </w:p>
          <w:p w:rsidR="00635EB1" w:rsidRPr="008A2449" w:rsidRDefault="005A059C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>
              <w:rPr>
                <w:rFonts w:ascii="Tahoma" w:hAnsi="Tahoma" w:cs="Tahoma"/>
                <w:lang w:eastAsia="ru-RU"/>
              </w:rPr>
              <w:lastRenderedPageBreak/>
              <w:t>К</w:t>
            </w:r>
            <w:r w:rsidR="0061518A" w:rsidRPr="008A2449">
              <w:rPr>
                <w:rFonts w:ascii="Tahoma" w:hAnsi="Tahoma" w:cs="Tahoma"/>
                <w:lang w:eastAsia="ru-RU"/>
              </w:rPr>
              <w:t xml:space="preserve">онтрагент заверяет и гарантирует </w:t>
            </w:r>
            <w:r w:rsidR="007E0180" w:rsidRPr="008A2449">
              <w:rPr>
                <w:rFonts w:ascii="Tahoma" w:hAnsi="Tahoma" w:cs="Tahoma"/>
                <w:lang w:eastAsia="ru-RU"/>
              </w:rPr>
              <w:t>о</w:t>
            </w:r>
            <w:r w:rsidR="0061518A" w:rsidRPr="008A2449">
              <w:rPr>
                <w:rFonts w:ascii="Tahoma" w:hAnsi="Tahoma" w:cs="Tahoma"/>
                <w:lang w:eastAsia="ru-RU"/>
              </w:rPr>
              <w:t xml:space="preserve">бществу, что обстоятельства, указанные ниже, а также прямо упомянутые в качестве заверений в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="0061518A" w:rsidRPr="008A2449">
              <w:rPr>
                <w:rFonts w:ascii="Tahoma" w:hAnsi="Tahoma" w:cs="Tahoma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8A2449">
              <w:rPr>
                <w:rFonts w:ascii="Tahoma" w:hAnsi="Tahoma" w:cs="Tahoma"/>
                <w:lang w:eastAsia="ru-RU"/>
              </w:rPr>
              <w:t>договор</w:t>
            </w:r>
            <w:r w:rsidR="0061518A" w:rsidRPr="008A2449">
              <w:rPr>
                <w:rFonts w:ascii="Tahoma" w:hAnsi="Tahoma" w:cs="Tahoma"/>
                <w:lang w:eastAsia="ru-RU"/>
              </w:rPr>
              <w:t>а:</w:t>
            </w:r>
          </w:p>
          <w:p w:rsidR="00201130" w:rsidRDefault="002011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Pr="00201130">
              <w:rPr>
                <w:rFonts w:ascii="Tahoma" w:eastAsia="Times New Roman" w:hAnsi="Tahoma" w:cs="Tahoma"/>
                <w:lang w:eastAsia="ru-RU"/>
              </w:rPr>
              <w:t xml:space="preserve"> гарантирует, что передаваемые покупателю товары не были в употреблении, не имеют недостатков, свободны от любых прав третьих лиц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635EB1" w:rsidRPr="008A2449" w:rsidRDefault="0061518A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="00635EB1" w:rsidRPr="008A2449">
              <w:rPr>
                <w:rFonts w:ascii="Tahoma" w:eastAsia="Times New Roman" w:hAnsi="Tahoma" w:cs="Tahoma"/>
                <w:lang w:eastAsia="ru-RU"/>
              </w:rPr>
              <w:t xml:space="preserve"> имеет все лицензии, необходимые для заключения и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635EB1" w:rsidRPr="008A2449">
              <w:rPr>
                <w:rFonts w:ascii="Tahoma" w:eastAsia="Times New Roman" w:hAnsi="Tahoma" w:cs="Tahoma"/>
                <w:lang w:eastAsia="ru-RU"/>
              </w:rPr>
              <w:t>а, и соблюдает все лицензионные требования и условия;</w:t>
            </w:r>
          </w:p>
          <w:p w:rsidR="00635EB1" w:rsidRPr="008A2449" w:rsidRDefault="0061518A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="00635EB1" w:rsidRPr="008A2449">
              <w:rPr>
                <w:rFonts w:ascii="Tahoma" w:eastAsia="Times New Roman" w:hAnsi="Tahoma" w:cs="Tahoma"/>
                <w:lang w:eastAsia="ru-RU"/>
              </w:rPr>
              <w:t xml:space="preserve"> выполнены все требования законодательства, необходимые для заключения и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635EB1" w:rsidRPr="008A2449">
              <w:rPr>
                <w:rFonts w:ascii="Tahoma" w:eastAsia="Times New Roman" w:hAnsi="Tahoma" w:cs="Tahoma"/>
                <w:lang w:eastAsia="ru-RU"/>
              </w:rPr>
              <w:t>а, включая, если это требуется, наличие членства в соответствующих профильных саморегулируемых организациях (СРО);</w:t>
            </w:r>
          </w:p>
          <w:p w:rsidR="00635EB1" w:rsidRPr="008A2449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если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заключается по результатам процедуры закупки, в рамках которой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подтвердил своё соответствие требованиям, предъявляемым к участникам закупки, в соответствии с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п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оложением о закупке, извещением, документацией о закупке, то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тороны исходят из того, что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общество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принял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о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решение о заключении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в том числе на основании достоверности таких заверений. </w:t>
            </w:r>
            <w:r w:rsidR="0061518A"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подтверждает, что он сам, привлекаемые им для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лица и предоставляемые им по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 товары (работы, услуги), соответствуют заявленным в ходе проведения закупки требованиям. В случае выявления факта предоставления </w:t>
            </w:r>
            <w:r w:rsidR="007E0180" w:rsidRPr="008A2449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недостоверных сведений в части соответствия заявленным в ходе проведения закупки требованиям </w:t>
            </w:r>
            <w:r w:rsidR="007E0180" w:rsidRPr="008A2449">
              <w:rPr>
                <w:rFonts w:ascii="Tahoma" w:eastAsia="Times New Roman" w:hAnsi="Tahoma" w:cs="Tahoma"/>
                <w:lang w:eastAsia="ru-RU"/>
              </w:rPr>
              <w:t>он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признается нарушившим настоящее заверение.</w:t>
            </w:r>
          </w:p>
        </w:tc>
      </w:tr>
      <w:tr w:rsidR="00635EB1" w:rsidRPr="008A2449" w:rsidTr="00495936">
        <w:tc>
          <w:tcPr>
            <w:tcW w:w="1560" w:type="dxa"/>
          </w:tcPr>
          <w:p w:rsidR="00635EB1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8363" w:type="dxa"/>
          </w:tcPr>
          <w:p w:rsidR="007E0180" w:rsidRPr="008A2449" w:rsidRDefault="007E0180" w:rsidP="001B48F5">
            <w:pPr>
              <w:spacing w:before="120" w:after="120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lang w:eastAsia="ru-RU"/>
              </w:rPr>
              <w:t xml:space="preserve">Каждая сторона соглашается и подтверждает, что: </w:t>
            </w:r>
          </w:p>
          <w:p w:rsidR="007E0180" w:rsidRPr="008A2449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заверения, предоставленные этой стороной, являются заверениями об обстоятельствах в соответствии со ст</w:t>
            </w:r>
            <w:r w:rsidR="005A059C">
              <w:rPr>
                <w:rFonts w:ascii="Tahoma" w:eastAsia="Times New Roman" w:hAnsi="Tahoma" w:cs="Tahoma"/>
                <w:lang w:eastAsia="ru-RU"/>
              </w:rPr>
              <w:t>.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431.2 ГК РФ; </w:t>
            </w:r>
          </w:p>
          <w:p w:rsidR="007E0180" w:rsidRPr="008A2449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точность, полнота, достоверность и соответствие действительности заверений об обстоятельствах каждой стороны имеют существенное значение для заключения и исполнения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а другой стороной;</w:t>
            </w:r>
          </w:p>
          <w:p w:rsidR="00635EB1" w:rsidRPr="008A2449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каждая сторона полагается на соответствие действительности заверений об обстоятельствах другой стороны, и, разумно и объективно оценивая ситуацию,  такая сторона</w:t>
            </w:r>
            <w:r w:rsidRPr="008A2449" w:rsidDel="002D2C3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не заключила бы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, если бы ей было известно о несоответствии действительности какого-либо из заверений об обстоятельствах другой стороны.</w:t>
            </w:r>
          </w:p>
        </w:tc>
      </w:tr>
      <w:tr w:rsidR="00116D86" w:rsidRPr="008A2449" w:rsidTr="00495936">
        <w:tc>
          <w:tcPr>
            <w:tcW w:w="1560" w:type="dxa"/>
          </w:tcPr>
          <w:p w:rsidR="00116D86" w:rsidRPr="008A2449" w:rsidRDefault="00B64B55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5.4.</w:t>
            </w:r>
          </w:p>
        </w:tc>
        <w:tc>
          <w:tcPr>
            <w:tcW w:w="8363" w:type="dxa"/>
          </w:tcPr>
          <w:p w:rsidR="00116D86" w:rsidRPr="008A2449" w:rsidRDefault="00116D86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lang w:eastAsia="ru-RU"/>
              </w:rPr>
              <w:t>Если какое-либо из заверений об обстоятельствах стороны окажется не соответствующим действительности, другая сторона вправе потребовать от этой стороны по своему выбору:</w:t>
            </w:r>
          </w:p>
          <w:p w:rsidR="00116D86" w:rsidRPr="008A2449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уплаты неустойки (штрафа) в размере 10 % от общей стоимости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а, указанной в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е, и/или,</w:t>
            </w:r>
          </w:p>
          <w:p w:rsidR="00116D86" w:rsidRPr="00776979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возмещения убытков в полном размере, </w:t>
            </w:r>
            <w:r w:rsidRPr="00776979">
              <w:rPr>
                <w:rFonts w:ascii="Tahoma" w:hAnsi="Tahoma" w:cs="Tahoma"/>
                <w:lang w:eastAsia="ru-RU"/>
              </w:rPr>
              <w:t xml:space="preserve">а также, наряду с применением вышеуказанных мер, отказаться от </w:t>
            </w:r>
            <w:r w:rsidR="00090C53" w:rsidRPr="00776979">
              <w:rPr>
                <w:rFonts w:ascii="Tahoma" w:hAnsi="Tahoma" w:cs="Tahoma"/>
                <w:lang w:eastAsia="ru-RU"/>
              </w:rPr>
              <w:t>договор</w:t>
            </w:r>
            <w:r w:rsidRPr="00776979">
              <w:rPr>
                <w:rFonts w:ascii="Tahoma" w:hAnsi="Tahoma" w:cs="Tahoma"/>
                <w:lang w:eastAsia="ru-RU"/>
              </w:rPr>
              <w:t>а.</w:t>
            </w:r>
          </w:p>
        </w:tc>
      </w:tr>
    </w:tbl>
    <w:p w:rsidR="00B64B55" w:rsidRDefault="00B64B55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35EB1" w:rsidRPr="008A2449" w:rsidTr="00876AE3">
        <w:tc>
          <w:tcPr>
            <w:tcW w:w="1560" w:type="dxa"/>
            <w:shd w:val="clear" w:color="auto" w:fill="auto"/>
          </w:tcPr>
          <w:p w:rsidR="00635EB1" w:rsidRPr="00876AE3" w:rsidRDefault="00876AE3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6.</w:t>
            </w:r>
          </w:p>
        </w:tc>
        <w:tc>
          <w:tcPr>
            <w:tcW w:w="8363" w:type="dxa"/>
            <w:shd w:val="clear" w:color="auto" w:fill="auto"/>
          </w:tcPr>
          <w:p w:rsidR="00635EB1" w:rsidRPr="008A2449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Обстоятельства непреодолимой силы</w:t>
            </w:r>
          </w:p>
        </w:tc>
      </w:tr>
      <w:tr w:rsidR="00C76F59" w:rsidRPr="008A2449" w:rsidTr="00495936">
        <w:tc>
          <w:tcPr>
            <w:tcW w:w="1560" w:type="dxa"/>
          </w:tcPr>
          <w:p w:rsidR="00C76F59" w:rsidRPr="00876AE3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76AE3">
              <w:rPr>
                <w:rFonts w:ascii="Tahoma" w:hAnsi="Tahoma" w:cs="Tahoma"/>
                <w:b w:val="0"/>
                <w:sz w:val="22"/>
                <w:szCs w:val="22"/>
              </w:rPr>
              <w:t>6.1.</w:t>
            </w:r>
          </w:p>
        </w:tc>
        <w:tc>
          <w:tcPr>
            <w:tcW w:w="8363" w:type="dxa"/>
          </w:tcPr>
          <w:p w:rsidR="00C76F59" w:rsidRPr="008A2449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Стороны не несут ответственности за неисполнение любого из своих обязательств по договору, если докажут, что такое неисполнение было вызвано обсто</w:t>
            </w:r>
            <w:r>
              <w:rPr>
                <w:rFonts w:ascii="Tahoma" w:eastAsia="Times New Roman" w:hAnsi="Tahoma" w:cs="Tahoma"/>
                <w:lang w:eastAsia="ru-RU"/>
              </w:rPr>
              <w:t>ятельствами непреодолимой силы.</w:t>
            </w:r>
            <w:r w:rsidRPr="00C76F59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  <w:tr w:rsidR="00C76F59" w:rsidRPr="008A2449" w:rsidTr="00495936">
        <w:tc>
          <w:tcPr>
            <w:tcW w:w="1560" w:type="dxa"/>
          </w:tcPr>
          <w:p w:rsidR="00C76F59" w:rsidRPr="00876AE3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76AE3">
              <w:rPr>
                <w:rFonts w:ascii="Tahoma" w:hAnsi="Tahoma" w:cs="Tahoma"/>
                <w:b w:val="0"/>
                <w:sz w:val="22"/>
                <w:szCs w:val="22"/>
              </w:rPr>
              <w:t>6.2.</w:t>
            </w:r>
          </w:p>
        </w:tc>
        <w:tc>
          <w:tcPr>
            <w:tcW w:w="8363" w:type="dxa"/>
          </w:tcPr>
          <w:p w:rsidR="00C76F59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Сторона, для которой стало невозможным исполнение обязательств по договору по причине наступления обстоятельств непреодолимой силы, должна</w:t>
            </w:r>
            <w:r>
              <w:rPr>
                <w:rFonts w:ascii="Tahoma" w:eastAsia="Times New Roman" w:hAnsi="Tahoma" w:cs="Tahoma"/>
                <w:lang w:eastAsia="ru-RU"/>
              </w:rPr>
              <w:t>:</w:t>
            </w:r>
          </w:p>
          <w:p w:rsidR="00C76F59" w:rsidRDefault="00C76F5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lastRenderedPageBreak/>
              <w:t>незамедлительно проинформировать другую сторону в письменном виде о возникновении таких обстоятельств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  <w:r w:rsidRPr="00C76F59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:rsidR="00C76F59" w:rsidRDefault="00C76F5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 xml:space="preserve">предоставить в течение </w:t>
            </w:r>
            <w:r>
              <w:rPr>
                <w:rFonts w:ascii="Tahoma" w:eastAsia="Times New Roman" w:hAnsi="Tahoma" w:cs="Tahoma"/>
                <w:lang w:eastAsia="ru-RU"/>
              </w:rPr>
              <w:t>14 календарных</w:t>
            </w:r>
            <w:r w:rsidRPr="00C76F59">
              <w:rPr>
                <w:rFonts w:ascii="Tahoma" w:eastAsia="Times New Roman" w:hAnsi="Tahoma" w:cs="Tahoma"/>
                <w:lang w:eastAsia="ru-RU"/>
              </w:rPr>
              <w:t xml:space="preserve"> дней другой стороне </w:t>
            </w:r>
            <w:r>
              <w:rPr>
                <w:rFonts w:ascii="Tahoma" w:eastAsia="Times New Roman" w:hAnsi="Tahoma" w:cs="Tahoma"/>
                <w:lang w:eastAsia="ru-RU"/>
              </w:rPr>
              <w:t>документы в подтверждение наступления указанных обстоятельств</w:t>
            </w:r>
            <w:r w:rsidRPr="00C76F59">
              <w:rPr>
                <w:rFonts w:ascii="Tahoma" w:eastAsia="Times New Roman" w:hAnsi="Tahoma" w:cs="Tahoma"/>
                <w:lang w:eastAsia="ru-RU"/>
              </w:rPr>
              <w:t xml:space="preserve">. </w:t>
            </w:r>
          </w:p>
          <w:p w:rsidR="00C76F59" w:rsidRPr="00C76F59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Таким подтверждением будет являться справка, сертификат или иной документ, выданный уполномоченной организацией, расположенной по месту возникновения обстоятельств непреодолимой силы.</w:t>
            </w:r>
          </w:p>
        </w:tc>
      </w:tr>
      <w:tr w:rsidR="00635EB1" w:rsidRPr="008A2449" w:rsidTr="00495936">
        <w:tc>
          <w:tcPr>
            <w:tcW w:w="1560" w:type="dxa"/>
          </w:tcPr>
          <w:p w:rsidR="00635EB1" w:rsidRPr="00876AE3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76AE3"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6.3.</w:t>
            </w:r>
          </w:p>
        </w:tc>
        <w:tc>
          <w:tcPr>
            <w:tcW w:w="8363" w:type="dxa"/>
          </w:tcPr>
          <w:p w:rsidR="00635EB1" w:rsidRPr="008A2449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C76F59">
              <w:rPr>
                <w:rFonts w:ascii="Tahoma" w:eastAsia="Times New Roman" w:hAnsi="Tahoma" w:cs="Tahoma"/>
                <w:lang w:eastAsia="ru-RU"/>
              </w:rPr>
              <w:t>Неуведомление или несвоевременное уведомление о наступлении обстоятельств непреодолимой силы, а также непредставление или несвоевременное представление документа, подтверждающего факт возникновения обстоятельств непреодолимой силы, лишает сторону права ссылаться на наступление таких обстоятельств.</w:t>
            </w:r>
          </w:p>
        </w:tc>
      </w:tr>
      <w:tr w:rsidR="00635EB1" w:rsidRPr="008A2449" w:rsidTr="00495936">
        <w:tc>
          <w:tcPr>
            <w:tcW w:w="1560" w:type="dxa"/>
          </w:tcPr>
          <w:p w:rsidR="00635EB1" w:rsidRPr="00876AE3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876AE3">
              <w:rPr>
                <w:rFonts w:ascii="Tahoma" w:hAnsi="Tahoma" w:cs="Tahoma"/>
                <w:b w:val="0"/>
                <w:sz w:val="22"/>
                <w:szCs w:val="22"/>
              </w:rPr>
              <w:t>6.4.</w:t>
            </w:r>
          </w:p>
        </w:tc>
        <w:tc>
          <w:tcPr>
            <w:tcW w:w="8363" w:type="dxa"/>
          </w:tcPr>
          <w:p w:rsidR="00635EB1" w:rsidRPr="008A2449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Если обстоятельства непреодолимой силы сохраняются свыше </w:t>
            </w:r>
            <w:r w:rsidR="00C76F59">
              <w:rPr>
                <w:rFonts w:ascii="Tahoma" w:eastAsia="Times New Roman" w:hAnsi="Tahoma" w:cs="Tahoma"/>
                <w:lang w:eastAsia="ru-RU"/>
              </w:rPr>
              <w:t>1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месяца,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с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тороны вправе в одностороннем порядке расторгнуть </w:t>
            </w:r>
            <w:r w:rsidR="00C76F59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без обращения в суд.</w:t>
            </w:r>
            <w:r w:rsidR="008542D4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</w:tbl>
    <w:p w:rsidR="00876AE3" w:rsidRDefault="00876AE3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CF0371" w:rsidRPr="008A2449" w:rsidTr="00876AE3">
        <w:tc>
          <w:tcPr>
            <w:tcW w:w="1560" w:type="dxa"/>
            <w:shd w:val="clear" w:color="auto" w:fill="auto"/>
          </w:tcPr>
          <w:p w:rsidR="00CF0371" w:rsidRPr="00876AE3" w:rsidRDefault="00876AE3" w:rsidP="00876AE3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7.</w:t>
            </w:r>
          </w:p>
        </w:tc>
        <w:tc>
          <w:tcPr>
            <w:tcW w:w="8363" w:type="dxa"/>
            <w:shd w:val="clear" w:color="auto" w:fill="auto"/>
          </w:tcPr>
          <w:p w:rsidR="00CF0371" w:rsidRPr="008A2449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Налогов</w:t>
            </w:r>
            <w:r w:rsidR="00E82114" w:rsidRPr="008A2449">
              <w:rPr>
                <w:rFonts w:ascii="Tahoma" w:hAnsi="Tahoma" w:cs="Tahoma"/>
                <w:b/>
              </w:rPr>
              <w:t>ые</w:t>
            </w:r>
            <w:r w:rsidRPr="008A2449">
              <w:rPr>
                <w:rFonts w:ascii="Tahoma" w:hAnsi="Tahoma" w:cs="Tahoma"/>
                <w:b/>
              </w:rPr>
              <w:t xml:space="preserve"> оговорк</w:t>
            </w:r>
            <w:r w:rsidR="00E82114" w:rsidRPr="008A2449">
              <w:rPr>
                <w:rFonts w:ascii="Tahoma" w:hAnsi="Tahoma" w:cs="Tahoma"/>
                <w:b/>
              </w:rPr>
              <w:t>и</w:t>
            </w:r>
          </w:p>
        </w:tc>
      </w:tr>
      <w:tr w:rsidR="00CF0371" w:rsidRPr="008A2449" w:rsidTr="00C77862">
        <w:tc>
          <w:tcPr>
            <w:tcW w:w="1560" w:type="dxa"/>
            <w:shd w:val="clear" w:color="auto" w:fill="F6FAF4"/>
          </w:tcPr>
          <w:p w:rsidR="00CF0371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7.1.</w:t>
            </w:r>
          </w:p>
          <w:p w:rsidR="00C77862" w:rsidRPr="008A2449" w:rsidRDefault="00C77862" w:rsidP="00C77862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ое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услови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2.2.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CF0371" w:rsidRPr="008A2449" w:rsidRDefault="00CB228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="00CF0371" w:rsidRPr="008A2449">
              <w:rPr>
                <w:rFonts w:ascii="Tahoma" w:eastAsia="Times New Roman" w:hAnsi="Tahoma" w:cs="Tahoma"/>
                <w:lang w:eastAsia="ru-RU"/>
              </w:rPr>
              <w:t xml:space="preserve"> в соответствии со ст</w:t>
            </w:r>
            <w:r w:rsidR="005A059C">
              <w:rPr>
                <w:rFonts w:ascii="Tahoma" w:eastAsia="Times New Roman" w:hAnsi="Tahoma" w:cs="Tahoma"/>
                <w:lang w:eastAsia="ru-RU"/>
              </w:rPr>
              <w:t>. </w:t>
            </w:r>
            <w:r w:rsidR="00CF0371" w:rsidRPr="008A2449">
              <w:rPr>
                <w:rFonts w:ascii="Tahoma" w:eastAsia="Times New Roman" w:hAnsi="Tahoma" w:cs="Tahoma"/>
                <w:lang w:eastAsia="ru-RU"/>
              </w:rPr>
              <w:t xml:space="preserve">406.1 ГК РФ возмещает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обществу</w:t>
            </w:r>
            <w:r w:rsidR="00CF0371" w:rsidRPr="008A2449">
              <w:rPr>
                <w:rFonts w:ascii="Tahoma" w:eastAsia="Times New Roman" w:hAnsi="Tahoma" w:cs="Tahoma"/>
                <w:lang w:eastAsia="ru-RU"/>
              </w:rPr>
              <w:t xml:space="preserve"> все имущественные потери последнего, возникшие:</w:t>
            </w:r>
          </w:p>
          <w:p w:rsidR="00CF0371" w:rsidRPr="008A2449" w:rsidRDefault="00CF037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 связи с предъявлением налоговыми органами требований об уплате налогов (пеней, штрафов), доначисленных с сумм товаров (услуг, работ) по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у из-за отказа в применении налоговых вычетов по НДС и из-за исключения стоимости приобретенных товаров (работ, услуг) из расходов в целях налогообложения прибыли по причинам, связанным с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CF0371" w:rsidRPr="008A2449" w:rsidRDefault="00CF037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 связи с предъявлением третьими лицами, купившими у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общества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являющиеся предметом </w:t>
            </w:r>
            <w:r w:rsidR="00090C53" w:rsidRPr="008A2449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а товары (услуги, работы), требований о возмещении потерь и убытков в виде уплаченных ими налогов (пеней, штрафов), доначисленных налоговыми органами из-за отказа в применении налоговых вычетов по НДС и из-за исключения стоимости приобретенных товаров (работ, услуг), из расходов в целях налогообложения прибыли по причинам, связанным с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Pr="008A2449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  <w:tr w:rsidR="00CF0371" w:rsidRPr="008A2449" w:rsidTr="00C77862">
        <w:tc>
          <w:tcPr>
            <w:tcW w:w="1560" w:type="dxa"/>
            <w:shd w:val="clear" w:color="auto" w:fill="F6FAF4"/>
          </w:tcPr>
          <w:p w:rsidR="00CF0371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7.2.</w:t>
            </w:r>
          </w:p>
          <w:p w:rsidR="00C77862" w:rsidRPr="008A2449" w:rsidRDefault="00C77862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2.2.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CF0371" w:rsidRPr="008A2449" w:rsidRDefault="00CF037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Вышеуказанные имущественные потери возмещаются в размере сумм, уплаченных на основании вступившего в силу решения налогового органа и требования об уплате налогов, пеней, штрафов. При этом факт оспаривания этих налоговых доначислений в вышестоящем налоговом органе или в суде не влияет на обязанность </w:t>
            </w:r>
            <w:r w:rsidR="00CB2284" w:rsidRPr="008A2449">
              <w:rPr>
                <w:rFonts w:ascii="Tahoma" w:eastAsia="Times New Roman" w:hAnsi="Tahoma" w:cs="Tahoma"/>
                <w:lang w:eastAsia="ru-RU"/>
              </w:rPr>
              <w:t>контрагента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возместить потери.</w:t>
            </w:r>
          </w:p>
        </w:tc>
      </w:tr>
      <w:tr w:rsidR="00E82114" w:rsidRPr="008A2449" w:rsidTr="00C77862">
        <w:tc>
          <w:tcPr>
            <w:tcW w:w="1560" w:type="dxa"/>
            <w:shd w:val="clear" w:color="auto" w:fill="F6FAF4"/>
          </w:tcPr>
          <w:p w:rsidR="00E82114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7.3.</w:t>
            </w:r>
          </w:p>
          <w:p w:rsidR="00C77862" w:rsidRPr="008A2449" w:rsidRDefault="00C77862" w:rsidP="00C77862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ие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услови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я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2.1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.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и 4.2.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 xml:space="preserve">Условия </w:t>
            </w:r>
            <w:r>
              <w:rPr>
                <w:rFonts w:ascii="Tahoma" w:eastAsia="Times New Roman" w:hAnsi="Tahoma" w:cs="Tahoma"/>
                <w:lang w:eastAsia="ru-RU"/>
              </w:rPr>
              <w:t xml:space="preserve">пункта 7.3. </w:t>
            </w:r>
            <w:r w:rsidRPr="0025766F">
              <w:rPr>
                <w:rFonts w:ascii="Tahoma" w:eastAsia="Times New Roman" w:hAnsi="Tahoma" w:cs="Tahoma"/>
                <w:lang w:eastAsia="ru-RU"/>
              </w:rPr>
              <w:t xml:space="preserve">применяются только в случае, если соблюдены все условия: 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является иностранной организацией, имеющей фактическое право на получение дохода по смыслу статьи 312 Налогово</w:t>
            </w:r>
            <w:r>
              <w:rPr>
                <w:rFonts w:ascii="Tahoma" w:eastAsia="Times New Roman" w:hAnsi="Tahoma" w:cs="Tahoma"/>
                <w:lang w:eastAsia="ru-RU"/>
              </w:rPr>
              <w:t>го кодекса Российской Федерации;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не уведомил о том, что выплачиваемый доход относится к его постоянному представительству в РФ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является получателем дохода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доход подлежит налогообложению в РФ налогом на прибыль организаций, удерживаемым у источника выплаты дохода, по ставке, отличной от 0%</w:t>
            </w:r>
            <w:r>
              <w:rPr>
                <w:rFonts w:ascii="Tahoma" w:eastAsia="Times New Roman" w:hAnsi="Tahoma" w:cs="Tahoma"/>
                <w:lang w:eastAsia="ru-RU"/>
              </w:rPr>
              <w:t>;</w:t>
            </w:r>
          </w:p>
          <w:p w:rsidR="0025766F" w:rsidRP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между иностранным государством, резидентом которого является контрагент, и Российской Федерацией заключено соглашение об избежании двойного налогообложения.</w:t>
            </w:r>
          </w:p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Только в случае соблюдения указанных выше условий контрагент должен представить обществу следующие документы, отвечающие требованиям статей</w:t>
            </w:r>
            <w:r>
              <w:rPr>
                <w:rFonts w:ascii="Tahoma" w:eastAsia="Times New Roman" w:hAnsi="Tahoma" w:cs="Tahoma"/>
                <w:lang w:eastAsia="ru-RU"/>
              </w:rPr>
              <w:t> </w:t>
            </w:r>
            <w:r w:rsidRPr="0025766F">
              <w:rPr>
                <w:rFonts w:ascii="Tahoma" w:eastAsia="Times New Roman" w:hAnsi="Tahoma" w:cs="Tahoma"/>
                <w:lang w:eastAsia="ru-RU"/>
              </w:rPr>
              <w:t>7 и 312 Налогового кодекса Российской Федерации:</w:t>
            </w:r>
          </w:p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1) подтверждение наличия постоянного местонахождения в соответствующем иностранном государстве, которое должно быть заверено компетентным органом этого иностранного государства (документ действует в течение года с момента представления, представляется ежегодно не позднее 1 декабря). В случае, если такое подтверждение составлено на иностранном языке, предоставляется также перевод на русский язык;</w:t>
            </w:r>
          </w:p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2)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25766F">
              <w:rPr>
                <w:rFonts w:ascii="Tahoma" w:eastAsia="Times New Roman" w:hAnsi="Tahoma" w:cs="Tahoma"/>
                <w:lang w:eastAsia="ru-RU"/>
              </w:rPr>
              <w:t>подтверждение наличия фактического права на получение соответствующего дохода применительно к группе выплат дохода (если договор предполагает разные группы выплат дохода) в рамках одного договора, которое будет содержать следующие сведения и заверения: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наименование и реквизиты международного договора Российской Федерации с соответствующим иностранным государством;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осуществляет фактическую предпринимательскую деятельность в указанном иностранном государстве и при исчислении налога на прибыль учитывает доходы, подлежащие выплате на основании договора;</w:t>
            </w:r>
          </w:p>
          <w:p w:rsid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не существует ограничений полномочий контрагента по распоряжению полученными доходами по договору;</w:t>
            </w:r>
          </w:p>
          <w:p w:rsidR="0025766F" w:rsidRPr="0025766F" w:rsidRDefault="0025766F" w:rsidP="0025766F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контрагент не имеет договорных или иных юридических обязательств перед третьими лицами по перечислению полученных доходов по договору третьим лицам.</w:t>
            </w:r>
          </w:p>
          <w:p w:rsidR="0025766F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>Указанные документы должны быть представлены прежде, чем контрагент выставит счет на оплату поставленных товаров, выполненных работ, оказанных услуг. В случае, если указанные документы не будут представлены в установленный срок, или в случае отсутствия действующего международного договора Российской Федерации с соответствующим иностранным государством по вопросам налогообложения, при оплате общество будет вправе уменьшить сумму счета на налог на прибыль организаций, подлежащий удержанию и уплате в соответствии с положениями пункта 1 статьи 309, пункта 1 статьи 310, статьи 284 Налогового кодекса Российской Федерации.</w:t>
            </w:r>
          </w:p>
          <w:p w:rsidR="00E82114" w:rsidRPr="0025766F" w:rsidRDefault="0025766F" w:rsidP="0025766F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25766F">
              <w:rPr>
                <w:rFonts w:ascii="Tahoma" w:eastAsia="Times New Roman" w:hAnsi="Tahoma" w:cs="Tahoma"/>
                <w:lang w:eastAsia="ru-RU"/>
              </w:rPr>
              <w:t xml:space="preserve">Последствия, предусмотренные в предыдущем абзаце для непредставления документов, применяются не только в установленный предыдущим абзацем срок (перед выставлением счета), но и для других сроков, указанных в пункте </w:t>
            </w:r>
            <w:r>
              <w:rPr>
                <w:rFonts w:ascii="Tahoma" w:eastAsia="Times New Roman" w:hAnsi="Tahoma" w:cs="Tahoma"/>
                <w:lang w:eastAsia="ru-RU"/>
              </w:rPr>
              <w:t>7</w:t>
            </w:r>
            <w:r w:rsidRPr="0025766F">
              <w:rPr>
                <w:rFonts w:ascii="Tahoma" w:eastAsia="Times New Roman" w:hAnsi="Tahoma" w:cs="Tahoma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lang w:eastAsia="ru-RU"/>
              </w:rPr>
              <w:t>3</w:t>
            </w:r>
            <w:r w:rsidRPr="0025766F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</w:tbl>
    <w:p w:rsidR="00876AE3" w:rsidRDefault="00876AE3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8A2449" w:rsidTr="00876AE3">
        <w:tc>
          <w:tcPr>
            <w:tcW w:w="1560" w:type="dxa"/>
            <w:shd w:val="clear" w:color="auto" w:fill="auto"/>
          </w:tcPr>
          <w:p w:rsidR="00E82114" w:rsidRPr="00876AE3" w:rsidRDefault="00876AE3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8.</w:t>
            </w:r>
          </w:p>
        </w:tc>
        <w:tc>
          <w:tcPr>
            <w:tcW w:w="8363" w:type="dxa"/>
            <w:shd w:val="clear" w:color="auto" w:fill="auto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Оговорка о сборе и хранении доказательств исполнения договора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8A2449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8.1.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 по договору обязуется обеспечить сбор и хранение доказательств, подтверждающих реальность совершения хозяйственных операций в процессе исполнения договора (далее для целей настоящего пункта – доказательства).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 таким доказательствам помимо первичных документов могут быть отнесены, например, официальная и неофициальная переписка, в том числе по электронной почте, предоставленный пропуск сотруднику контрагента на объект или в офисное помещение, протоколы встреч и совещаний, презентации, отчёты, фото и видео материалы, записи камер видеонаблюдения, договоры и соглашения, заключаемые в целях исполнения договора, любые иные прямые и косвенные свидетельства, документально подтверждающие, что отношения между сторонами, имеют деловой характер и направлены на получение дохода от реально осуществляемой хозяйственной деятельности.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Общество имеет право запросить, а контрагент обязан незамедлительно предоставить все имеющиеся в его распоряжении доказательства.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 обязуется хранить все имеющиеся в его распоряжении доказательства в течение 4 лет с момента окончания срока действия договора.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Расходы контрагента на сбор и хранение доказательств несет контрагент. Такие расходы не подлежат возмещению обществом ни при каких обстоятельствах.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 случае нарушения контрагентом обязательств, предусмотренных настоящей статьей, общество имеет право по своему выбору:</w:t>
            </w:r>
          </w:p>
          <w:p w:rsidR="00E82114" w:rsidRPr="008A2449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 одностороннем порядке отказаться от исполнения договора, направив письменное уведомление;</w:t>
            </w:r>
          </w:p>
          <w:p w:rsidR="00E82114" w:rsidRPr="008A2449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потребовать возместить в полном объеме документально подтвержденные убытки, в том числе убытки, возникшие на основании требований органов государственной власти и/или третьих лиц;</w:t>
            </w:r>
          </w:p>
          <w:p w:rsidR="00E82114" w:rsidRPr="008A2449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потребовать уплатить штрафную неустойку в размере 10% от общей стоимости договора. В таком случае общество вправе требовать возмещения убытков в полной сумме сверх неустойки.</w:t>
            </w:r>
          </w:p>
          <w:p w:rsidR="00E82114" w:rsidRPr="008A2449" w:rsidRDefault="00E82114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lang w:eastAsia="ru-RU"/>
              </w:rPr>
              <w:t>Денежные обязательства, возникшие у контрагента на основании положений настоящей статьи, подлежат исполнению контрагентом в течение 10 рабочих дней с момента предъявления соответствующего требования.</w:t>
            </w:r>
          </w:p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 целях обеспечения положений договора контрагент обязуется предусмотреть в договорах с субподрядчиками (соисполнителями) положения, обеспечивающие реализацию и исполнение договора.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8A2449" w:rsidRDefault="00876AE3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8.2.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Если условиями договора прямо предусмотрено, что общество обязуется возместить дополнительные расходы, то такие расходы подлежат возмещению только на основании предоставления подтверждающих документов, отражающих суть и сумму данных расходов.</w:t>
            </w:r>
          </w:p>
        </w:tc>
      </w:tr>
    </w:tbl>
    <w:p w:rsidR="00876AE3" w:rsidRDefault="00876AE3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8A2449" w:rsidTr="00876AE3">
        <w:tc>
          <w:tcPr>
            <w:tcW w:w="1560" w:type="dxa"/>
            <w:shd w:val="clear" w:color="auto" w:fill="auto"/>
          </w:tcPr>
          <w:p w:rsidR="00E82114" w:rsidRPr="00876AE3" w:rsidRDefault="00876AE3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9.</w:t>
            </w:r>
          </w:p>
        </w:tc>
        <w:tc>
          <w:tcPr>
            <w:tcW w:w="8363" w:type="dxa"/>
            <w:shd w:val="clear" w:color="auto" w:fill="auto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Персональные данные</w:t>
            </w:r>
          </w:p>
        </w:tc>
      </w:tr>
      <w:tr w:rsidR="00E82114" w:rsidRPr="008A2449" w:rsidTr="00E3752C">
        <w:tc>
          <w:tcPr>
            <w:tcW w:w="1560" w:type="dxa"/>
            <w:shd w:val="clear" w:color="auto" w:fill="F6FAF4"/>
          </w:tcPr>
          <w:p w:rsidR="00E82114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9.1.</w:t>
            </w:r>
          </w:p>
          <w:p w:rsidR="00E3752C" w:rsidRPr="008A2449" w:rsidRDefault="00E3752C" w:rsidP="00E3752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7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.2.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Если стороны, являющиеся юридическими лицами, передают друг другу персональные данные, то до передачи таких данных передающая сторона обязуется предпринять все действия, предусмотренные Федеральным законом от 27 июля 2006 г. № 152-ФЗ «О персональных данных», для обеспечения соблюдения прав лиц, к персональным данным которых сторона получает доступ. Стороны с целью заключения, изменения или исполнения договора вправе осуществлять обработку полученных персональных данных физических лиц любыми необходимыми способами, включая сбор (получение), систематизацию, накопление, обобщение, хранение, обновление и изменение, использование, распространение (в том числе передачу), обезличивание, блокирование и уничтожение, с использованием, как автоматизированной информационной системы, так и бумажных носителей, в соответствии с требованиями законодательства. При этом стороны вправе осуществлять хранение и уничтожение персональных данных в течение срока хранения документов, установленного архивным делопроизводством.</w:t>
            </w:r>
          </w:p>
        </w:tc>
      </w:tr>
      <w:tr w:rsidR="00E82114" w:rsidRPr="008A2449" w:rsidTr="00E3752C">
        <w:tc>
          <w:tcPr>
            <w:tcW w:w="1560" w:type="dxa"/>
            <w:shd w:val="clear" w:color="auto" w:fill="F6FAF4"/>
          </w:tcPr>
          <w:p w:rsidR="00E82114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9.2.</w:t>
            </w:r>
          </w:p>
          <w:p w:rsidR="00E3752C" w:rsidRPr="008A2449" w:rsidRDefault="00E3752C" w:rsidP="00E3752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7.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3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.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 xml:space="preserve">Контрагент, являющийся физическим лицом, дает свое безусловное согласие на сбор, обработку и хранение (в том числе сбор, запись, систематизацию, накопление, хранение, уточнение, обновление, изменение, извлечение, использование, распространение, предоставление, доступ, передачу (в том числе трансграничную), обезличивание, блокирование и уничтожение) необходимых персональных данных о себе в целях заключения и исполнения договора, а также в целях реализации сторонами своих прав по договору с помощью различных средств связи, включая, но, не ограничиваясь: почтовая рассылка, электронная почта, телефон, факсимильная связь, сеть интернет. </w:t>
            </w:r>
            <w:r w:rsidR="00974B52" w:rsidRPr="008A2449">
              <w:rPr>
                <w:rFonts w:ascii="Tahoma" w:eastAsia="Times New Roman" w:hAnsi="Tahoma" w:cs="Tahoma"/>
                <w:lang w:eastAsia="ru-RU"/>
              </w:rPr>
              <w:t>Контрагент</w:t>
            </w:r>
            <w:r w:rsidRPr="008A2449">
              <w:rPr>
                <w:rFonts w:ascii="Tahoma" w:eastAsia="Times New Roman" w:hAnsi="Tahoma" w:cs="Tahoma"/>
                <w:lang w:eastAsia="ru-RU"/>
              </w:rPr>
              <w:t xml:space="preserve"> соглашается с тем, что обществом будут использованы следующие способы обработки персональных данных: автоматизированная, неавтоматизированная, смешанная. Персональные данные контрагента могут быть переданы обществом третьим лицам в соответствии с требованиями законодательства.</w:t>
            </w:r>
          </w:p>
        </w:tc>
      </w:tr>
    </w:tbl>
    <w:p w:rsidR="00776979" w:rsidRDefault="00776979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8A2449" w:rsidTr="00776979">
        <w:tc>
          <w:tcPr>
            <w:tcW w:w="1560" w:type="dxa"/>
            <w:shd w:val="clear" w:color="auto" w:fill="auto"/>
          </w:tcPr>
          <w:p w:rsidR="00E82114" w:rsidRPr="00776979" w:rsidRDefault="00776979" w:rsidP="00776979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10.</w:t>
            </w:r>
          </w:p>
        </w:tc>
        <w:tc>
          <w:tcPr>
            <w:tcW w:w="8363" w:type="dxa"/>
            <w:shd w:val="clear" w:color="auto" w:fill="auto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Кодекс поставщика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776979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76979">
              <w:rPr>
                <w:rFonts w:ascii="Tahoma" w:hAnsi="Tahoma" w:cs="Tahoma"/>
                <w:b w:val="0"/>
                <w:sz w:val="22"/>
                <w:szCs w:val="22"/>
              </w:rPr>
              <w:t>10.1.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 признает, что до заключения договора рассмотрел Кодекс Поставщика Группы компаний АО «Зарубежнефть»</w:t>
            </w:r>
            <w:r w:rsidRPr="008A2449">
              <w:rPr>
                <w:rFonts w:ascii="Tahoma" w:hAnsi="Tahoma" w:cs="Tahoma"/>
              </w:rPr>
              <w:t xml:space="preserve">, </w:t>
            </w:r>
            <w:r w:rsidRPr="008A2449">
              <w:rPr>
                <w:rFonts w:ascii="Tahoma" w:eastAsia="Times New Roman" w:hAnsi="Tahoma" w:cs="Tahoma"/>
                <w:lang w:eastAsia="ru-RU"/>
              </w:rPr>
              <w:t>размещенный на сайте АО «Зарубежнефть» в разделе «закупки» подраздел «документы» (</w:t>
            </w:r>
            <w:hyperlink r:id="rId7" w:history="1">
              <w:r w:rsidRPr="008A2449">
                <w:rPr>
                  <w:rStyle w:val="a5"/>
                  <w:rFonts w:ascii="Tahoma" w:eastAsia="Times New Roman" w:hAnsi="Tahoma" w:cs="Tahoma"/>
                  <w:lang w:eastAsia="ru-RU"/>
                </w:rPr>
                <w:t>https://www.zarubezhneft.ru/ru/zakupki/dokumenty/</w:t>
              </w:r>
            </w:hyperlink>
            <w:r w:rsidRPr="008A2449">
              <w:rPr>
                <w:rFonts w:ascii="Tahoma" w:eastAsia="Times New Roman" w:hAnsi="Tahoma" w:cs="Tahoma"/>
                <w:lang w:eastAsia="ru-RU"/>
              </w:rPr>
              <w:t>) (далее – «Кодекс поставщика»), полностью согласен с ним и обязуется соблюдать его условия и принципы.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776979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76979">
              <w:rPr>
                <w:rFonts w:ascii="Tahoma" w:hAnsi="Tahoma" w:cs="Tahoma"/>
                <w:b w:val="0"/>
                <w:sz w:val="22"/>
                <w:szCs w:val="22"/>
              </w:rPr>
              <w:t>10.2.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По запросу общества контрагент обязуется предоставить любую информацию по вопросам, связанным с соблюдением Кодекса поставщика; общество оставляет за собой право проводить анкетирование и аудит контрагента в части соблюдения Кодекса поставщика.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776979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76979">
              <w:rPr>
                <w:rFonts w:ascii="Tahoma" w:hAnsi="Tahoma" w:cs="Tahoma"/>
                <w:b w:val="0"/>
                <w:sz w:val="22"/>
                <w:szCs w:val="22"/>
              </w:rPr>
              <w:t>10.3.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В случае выявления существенного нарушения контрагентом Кодекса поставщика, что является существенным нарушением условий договора, общество вправе в одностороннем порядке отказаться от исполнения договора. Об одностороннем отказе от исполнения договора общество обязано в письменном виде уведомить контрагента. Дата получения контрагентом письменного уведомления общества является датой расторжения договора.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776979" w:rsidRDefault="00776979" w:rsidP="00776979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776979">
              <w:rPr>
                <w:rFonts w:ascii="Tahoma" w:hAnsi="Tahoma" w:cs="Tahoma"/>
                <w:b w:val="0"/>
                <w:sz w:val="22"/>
                <w:szCs w:val="22"/>
              </w:rPr>
              <w:t>10.4.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Контрагент обязуется обеспечивать соблюдение Кодекса поставщика его поставщиками.</w:t>
            </w:r>
          </w:p>
        </w:tc>
      </w:tr>
    </w:tbl>
    <w:p w:rsidR="00776979" w:rsidRDefault="00776979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8A2449" w:rsidTr="00776979">
        <w:tc>
          <w:tcPr>
            <w:tcW w:w="1560" w:type="dxa"/>
            <w:shd w:val="clear" w:color="auto" w:fill="auto"/>
          </w:tcPr>
          <w:p w:rsidR="00E82114" w:rsidRPr="00776979" w:rsidRDefault="00776979" w:rsidP="00776979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11.</w:t>
            </w:r>
          </w:p>
        </w:tc>
        <w:tc>
          <w:tcPr>
            <w:tcW w:w="8363" w:type="dxa"/>
            <w:shd w:val="clear" w:color="auto" w:fill="auto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hAnsi="Tahoma" w:cs="Tahoma"/>
                <w:b/>
              </w:rPr>
              <w:t>Прочие условия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8A2449" w:rsidRDefault="00776979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11.1.</w:t>
            </w:r>
          </w:p>
        </w:tc>
        <w:tc>
          <w:tcPr>
            <w:tcW w:w="8363" w:type="dxa"/>
          </w:tcPr>
          <w:p w:rsidR="00E82114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8A2449">
              <w:rPr>
                <w:rFonts w:ascii="Tahoma" w:eastAsia="Times New Roman" w:hAnsi="Tahoma" w:cs="Tahoma"/>
                <w:lang w:eastAsia="ru-RU"/>
              </w:rPr>
              <w:t>Если обществом выступает ООО «ЗАРУБЕЖНЕФТЬ-добыча Харьяга» в качестве оператора Харьягинского СРП, то при заключении и исполнении договора общество действует в целях осуществления функций оператора по Соглашению о разработке и добыче нефти на Харьягинском месторождения на условиях раздела продукции от 20.12.1995 г., с изменениями и дополнениями.</w:t>
            </w:r>
          </w:p>
        </w:tc>
      </w:tr>
      <w:tr w:rsidR="00974B52" w:rsidRPr="008A2449" w:rsidTr="004B0715">
        <w:tc>
          <w:tcPr>
            <w:tcW w:w="1560" w:type="dxa"/>
            <w:shd w:val="clear" w:color="auto" w:fill="F6FAF4"/>
          </w:tcPr>
          <w:p w:rsidR="00974B52" w:rsidRDefault="00776979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11.2.</w:t>
            </w:r>
          </w:p>
          <w:p w:rsidR="004B0715" w:rsidRPr="004B0715" w:rsidRDefault="004B0715" w:rsidP="004B071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i/>
                <w:sz w:val="22"/>
                <w:szCs w:val="22"/>
                <w:vertAlign w:val="superscript"/>
              </w:rPr>
            </w:pP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К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ритическое условие</w:t>
            </w:r>
            <w:r w:rsidRPr="004B0715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1.4.2. </w:t>
            </w:r>
            <w:r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(расходные договоры)</w:t>
            </w:r>
          </w:p>
        </w:tc>
        <w:tc>
          <w:tcPr>
            <w:tcW w:w="8363" w:type="dxa"/>
            <w:shd w:val="clear" w:color="auto" w:fill="F6FAF4"/>
          </w:tcPr>
          <w:p w:rsidR="00974B52" w:rsidRPr="008A2449" w:rsidRDefault="00974B52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8A2449">
              <w:rPr>
                <w:rFonts w:ascii="Tahoma" w:hAnsi="Tahoma" w:cs="Tahoma"/>
              </w:rPr>
              <w:t>Применимое право – законодательство РФ.</w:t>
            </w:r>
          </w:p>
        </w:tc>
      </w:tr>
      <w:tr w:rsidR="00E82114" w:rsidRPr="008A2449" w:rsidTr="00495936">
        <w:tc>
          <w:tcPr>
            <w:tcW w:w="1560" w:type="dxa"/>
          </w:tcPr>
          <w:p w:rsidR="00E82114" w:rsidRPr="008A2449" w:rsidRDefault="00776979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11.3.</w:t>
            </w:r>
          </w:p>
        </w:tc>
        <w:tc>
          <w:tcPr>
            <w:tcW w:w="8363" w:type="dxa"/>
          </w:tcPr>
          <w:p w:rsidR="00974B52" w:rsidRPr="008A2449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8A2449">
              <w:rPr>
                <w:rFonts w:ascii="Tahoma" w:hAnsi="Tahoma" w:cs="Tahoma"/>
              </w:rPr>
              <w:t>В случае невозможности разрешения разногласий путем переговоров они подлежат рассмотрению в Арбитражном суде г. Москвы, при условии обязательного соблюдения претензионного порядка, срок ответа на претензию – 20 календарных дней с даты ее получения.</w:t>
            </w:r>
          </w:p>
        </w:tc>
      </w:tr>
    </w:tbl>
    <w:p w:rsidR="00776979" w:rsidRDefault="00776979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10472F" w:rsidRPr="008A2449" w:rsidTr="00776979">
        <w:tc>
          <w:tcPr>
            <w:tcW w:w="1560" w:type="dxa"/>
            <w:shd w:val="clear" w:color="auto" w:fill="auto"/>
          </w:tcPr>
          <w:p w:rsidR="0010472F" w:rsidRPr="008A2449" w:rsidRDefault="0010472F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10.</w:t>
            </w:r>
          </w:p>
        </w:tc>
        <w:tc>
          <w:tcPr>
            <w:tcW w:w="8363" w:type="dxa"/>
            <w:shd w:val="clear" w:color="auto" w:fill="auto"/>
          </w:tcPr>
          <w:p w:rsidR="0010472F" w:rsidRPr="008A2449" w:rsidRDefault="0010472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Cs w:val="24"/>
              </w:rPr>
              <w:t>Порядок подписания</w:t>
            </w:r>
          </w:p>
        </w:tc>
      </w:tr>
      <w:tr w:rsidR="00A44EEF" w:rsidRPr="008A2449" w:rsidTr="00495936">
        <w:tc>
          <w:tcPr>
            <w:tcW w:w="1560" w:type="dxa"/>
          </w:tcPr>
          <w:p w:rsidR="00A44EEF" w:rsidRDefault="00A44EEF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10.1.</w:t>
            </w:r>
          </w:p>
        </w:tc>
        <w:tc>
          <w:tcPr>
            <w:tcW w:w="8363" w:type="dxa"/>
          </w:tcPr>
          <w:p w:rsidR="00776979" w:rsidRPr="00776979" w:rsidRDefault="00776979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776979">
              <w:rPr>
                <w:rFonts w:ascii="Tahoma" w:hAnsi="Tahoma" w:cs="Tahoma"/>
                <w:b/>
              </w:rPr>
              <w:t>Приоритетный способ подписания (подписание в ЭДО).</w:t>
            </w:r>
          </w:p>
          <w:p w:rsidR="005A059C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5A4507">
              <w:rPr>
                <w:rFonts w:ascii="Tahoma" w:hAnsi="Tahoma" w:cs="Tahoma"/>
              </w:rPr>
              <w:t>Стороны пришли к соглашению об использовании электронного документооборота (далее – «ЭДО») при обмене документами</w:t>
            </w:r>
            <w:r>
              <w:rPr>
                <w:rFonts w:ascii="Tahoma" w:hAnsi="Tahoma" w:cs="Tahoma"/>
              </w:rPr>
              <w:t xml:space="preserve"> </w:t>
            </w:r>
            <w:r w:rsidRPr="005A4507">
              <w:rPr>
                <w:rFonts w:ascii="Tahoma" w:hAnsi="Tahoma" w:cs="Tahoma"/>
              </w:rPr>
              <w:t>и применении усиленной квалифицированной электронной подписи при оформлении таких документов в порядке, предусмотренном законодательством</w:t>
            </w:r>
            <w:r w:rsidR="005A059C">
              <w:rPr>
                <w:rFonts w:ascii="Tahoma" w:hAnsi="Tahoma" w:cs="Tahoma"/>
              </w:rPr>
              <w:t>.</w:t>
            </w:r>
          </w:p>
          <w:p w:rsidR="005A059C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5A059C">
              <w:rPr>
                <w:rFonts w:ascii="Tahoma" w:hAnsi="Tahoma" w:cs="Tahoma"/>
              </w:rPr>
              <w:t xml:space="preserve">Стороны признают, что </w:t>
            </w:r>
            <w:r>
              <w:rPr>
                <w:rFonts w:ascii="Tahoma" w:hAnsi="Tahoma" w:cs="Tahoma"/>
              </w:rPr>
              <w:t>д</w:t>
            </w:r>
            <w:r w:rsidRPr="005A059C">
              <w:rPr>
                <w:rFonts w:ascii="Tahoma" w:hAnsi="Tahoma" w:cs="Tahoma"/>
              </w:rPr>
              <w:t xml:space="preserve">окументы, </w:t>
            </w:r>
            <w:r>
              <w:rPr>
                <w:rFonts w:ascii="Tahoma" w:hAnsi="Tahoma" w:cs="Tahoma"/>
              </w:rPr>
              <w:t>подписанные</w:t>
            </w:r>
            <w:r w:rsidRPr="005A059C">
              <w:rPr>
                <w:rFonts w:ascii="Tahoma" w:hAnsi="Tahoma" w:cs="Tahoma"/>
              </w:rPr>
              <w:t xml:space="preserve"> усиленной квалифицированной электронной подписью уполномоченных лиц и направленные через Оператора ЭДО, юридически эквивалентны и равносильны </w:t>
            </w:r>
            <w:r>
              <w:rPr>
                <w:rFonts w:ascii="Tahoma" w:hAnsi="Tahoma" w:cs="Tahoma"/>
              </w:rPr>
              <w:t>д</w:t>
            </w:r>
            <w:r w:rsidRPr="005A059C">
              <w:rPr>
                <w:rFonts w:ascii="Tahoma" w:hAnsi="Tahoma" w:cs="Tahoma"/>
              </w:rPr>
              <w:t>окументам на бумажных носителях.</w:t>
            </w:r>
            <w:r>
              <w:rPr>
                <w:rFonts w:ascii="Tahoma" w:hAnsi="Tahoma" w:cs="Tahoma"/>
              </w:rPr>
              <w:t xml:space="preserve"> Д</w:t>
            </w:r>
            <w:r w:rsidR="00A44EEF" w:rsidRPr="005A4507">
              <w:rPr>
                <w:rFonts w:ascii="Tahoma" w:hAnsi="Tahoma" w:cs="Tahoma"/>
              </w:rPr>
              <w:t xml:space="preserve">ля целей </w:t>
            </w:r>
            <w:r>
              <w:rPr>
                <w:rFonts w:ascii="Tahoma" w:hAnsi="Tahoma" w:cs="Tahoma"/>
              </w:rPr>
              <w:t>д</w:t>
            </w:r>
            <w:r w:rsidR="00A44EEF" w:rsidRPr="005A4507">
              <w:rPr>
                <w:rFonts w:ascii="Tahoma" w:hAnsi="Tahoma" w:cs="Tahoma"/>
              </w:rPr>
              <w:t xml:space="preserve">оговора </w:t>
            </w:r>
            <w:r>
              <w:rPr>
                <w:rFonts w:ascii="Tahoma" w:hAnsi="Tahoma" w:cs="Tahoma"/>
              </w:rPr>
              <w:t>о</w:t>
            </w:r>
            <w:r w:rsidR="00A44EEF">
              <w:rPr>
                <w:rFonts w:ascii="Tahoma" w:hAnsi="Tahoma" w:cs="Tahoma"/>
              </w:rPr>
              <w:t>бщество</w:t>
            </w:r>
            <w:r w:rsidR="00A44EEF" w:rsidRPr="005A4507">
              <w:rPr>
                <w:rFonts w:ascii="Tahoma" w:hAnsi="Tahoma" w:cs="Tahoma"/>
              </w:rPr>
              <w:t xml:space="preserve"> использует систему ЭДО «Контур.Диадок».</w:t>
            </w:r>
            <w:r w:rsidRPr="005A4507">
              <w:rPr>
                <w:rFonts w:ascii="Tahoma" w:hAnsi="Tahoma" w:cs="Tahoma"/>
              </w:rPr>
              <w:t xml:space="preserve"> </w:t>
            </w:r>
          </w:p>
          <w:p w:rsidR="00A44EEF" w:rsidRPr="005A4507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5A4507">
              <w:rPr>
                <w:rFonts w:ascii="Tahoma" w:hAnsi="Tahoma" w:cs="Tahoma"/>
              </w:rPr>
              <w:t>Стороны обязуются принимать и исполнять оформленные надлежащим образом электронные документы.</w:t>
            </w:r>
          </w:p>
          <w:p w:rsidR="00A44EEF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5A4507">
              <w:rPr>
                <w:rFonts w:ascii="Tahoma" w:hAnsi="Tahoma" w:cs="Tahoma"/>
              </w:rPr>
              <w:t xml:space="preserve"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в течение одного рабочего дня уведомить другую </w:t>
            </w:r>
            <w:r w:rsidR="005A059C">
              <w:rPr>
                <w:rFonts w:ascii="Tahoma" w:hAnsi="Tahoma" w:cs="Tahoma"/>
              </w:rPr>
              <w:t>с</w:t>
            </w:r>
            <w:r w:rsidRPr="005A4507">
              <w:rPr>
                <w:rFonts w:ascii="Tahoma" w:hAnsi="Tahoma" w:cs="Tahoma"/>
              </w:rPr>
              <w:t>торону о данном факте и отказаться от использования данной подписи.</w:t>
            </w:r>
          </w:p>
          <w:p w:rsidR="00A44EEF" w:rsidRPr="008A2449" w:rsidRDefault="00A44EE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1A0FE9">
              <w:rPr>
                <w:rFonts w:ascii="Tahoma" w:hAnsi="Tahoma" w:cs="Tahoma"/>
              </w:rPr>
              <w:t xml:space="preserve">В случае невозможности использования ЭДО </w:t>
            </w:r>
            <w:r w:rsidR="005A059C">
              <w:rPr>
                <w:rFonts w:ascii="Tahoma" w:hAnsi="Tahoma" w:cs="Tahoma"/>
              </w:rPr>
              <w:t>с</w:t>
            </w:r>
            <w:r w:rsidRPr="001A0FE9">
              <w:rPr>
                <w:rFonts w:ascii="Tahoma" w:hAnsi="Tahoma" w:cs="Tahoma"/>
              </w:rPr>
              <w:t xml:space="preserve">тороны оформляют и передают документы, предусмотренные </w:t>
            </w:r>
            <w:r w:rsidR="005A059C">
              <w:rPr>
                <w:rFonts w:ascii="Tahoma" w:hAnsi="Tahoma" w:cs="Tahoma"/>
              </w:rPr>
              <w:t>д</w:t>
            </w:r>
            <w:r w:rsidRPr="001A0FE9">
              <w:rPr>
                <w:rFonts w:ascii="Tahoma" w:hAnsi="Tahoma" w:cs="Tahoma"/>
              </w:rPr>
              <w:t xml:space="preserve">оговором, на бумажных носителях с обязательным уведомлением другой </w:t>
            </w:r>
            <w:r w:rsidR="005A059C">
              <w:rPr>
                <w:rFonts w:ascii="Tahoma" w:hAnsi="Tahoma" w:cs="Tahoma"/>
              </w:rPr>
              <w:t>с</w:t>
            </w:r>
            <w:r w:rsidRPr="001A0FE9">
              <w:rPr>
                <w:rFonts w:ascii="Tahoma" w:hAnsi="Tahoma" w:cs="Tahoma"/>
              </w:rPr>
              <w:t>тороны о возникших неполадках или о причинах невозможности использования системы ЭДО в соответствующем сопроводительном письме.</w:t>
            </w:r>
          </w:p>
        </w:tc>
      </w:tr>
      <w:tr w:rsidR="00A44EEF" w:rsidRPr="008A2449" w:rsidTr="00495936">
        <w:tc>
          <w:tcPr>
            <w:tcW w:w="1560" w:type="dxa"/>
          </w:tcPr>
          <w:p w:rsidR="00A44EEF" w:rsidRPr="008A2449" w:rsidRDefault="00A44EEF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10.2.</w:t>
            </w:r>
          </w:p>
        </w:tc>
        <w:tc>
          <w:tcPr>
            <w:tcW w:w="8363" w:type="dxa"/>
          </w:tcPr>
          <w:p w:rsidR="00776979" w:rsidRDefault="00776979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A44EEF">
              <w:rPr>
                <w:rFonts w:ascii="Tahoma" w:hAnsi="Tahoma" w:cs="Tahoma"/>
                <w:b/>
              </w:rPr>
              <w:t>Подписание путем обмена сканированными копиями</w:t>
            </w:r>
          </w:p>
          <w:p w:rsidR="00A44EEF" w:rsidRPr="00B1743D" w:rsidRDefault="005A059C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При необходимости </w:t>
            </w:r>
            <w:r w:rsidR="00A44EEF" w:rsidRPr="00B1743D">
              <w:rPr>
                <w:rFonts w:ascii="Tahoma" w:hAnsi="Tahoma" w:cs="Tahoma"/>
              </w:rPr>
              <w:t xml:space="preserve">сторона вправе распечатать согласованный экземпляр договора, подписать документ на бумажном носителе уполномоченным лицом и осуществить последующее цветное сканирование всего текста договора со всеми приложениями в формате </w:t>
            </w:r>
            <w:r w:rsidR="00A44EEF" w:rsidRPr="00B1743D">
              <w:rPr>
                <w:rFonts w:ascii="Tahoma" w:hAnsi="Tahoma" w:cs="Tahoma"/>
                <w:lang w:val="en-US"/>
              </w:rPr>
              <w:t>PDF</w:t>
            </w:r>
            <w:r w:rsidR="00A44EEF" w:rsidRPr="00B1743D">
              <w:rPr>
                <w:rFonts w:ascii="Tahoma" w:hAnsi="Tahoma" w:cs="Tahoma"/>
              </w:rPr>
              <w:t xml:space="preserve"> (далее – сканированный экземпляр договора). В результате такая сторона направляет контрагенту по электронной почте сканированный экземпляр договора.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 xml:space="preserve">Сторона, получившая сканированный экземпляр договора, распечатывает полученный сканированный экземпляр договора (весь текст договора со всеми приложениями), осуществляет подписание документа на бумажном носителе уполномоченным лицом и последующее цветное сканирование всего текста договора со всеми приложениями в формате </w:t>
            </w:r>
            <w:r w:rsidRPr="00B1743D">
              <w:rPr>
                <w:rFonts w:ascii="Tahoma" w:hAnsi="Tahoma" w:cs="Tahoma"/>
                <w:lang w:val="en-US"/>
              </w:rPr>
              <w:t>PDF</w:t>
            </w:r>
            <w:r w:rsidRPr="00B1743D">
              <w:rPr>
                <w:rFonts w:ascii="Tahoma" w:hAnsi="Tahoma" w:cs="Tahoma"/>
              </w:rPr>
              <w:t>. В результате сторона, получившая сканированный экземпляр договора, направляет контрагенту по электронной почте сканированный экземпляр договора.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>Для целей соблюдения порядка подписания настоящего договора путем обмена сканированными экземплярами стороны дополнительно обязуются исполнить следующие условия: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>Обмен сканированными экземплярами договора осуществляется исключительно по адресам электронной почты</w:t>
            </w:r>
            <w:r>
              <w:rPr>
                <w:rFonts w:ascii="Tahoma" w:hAnsi="Tahoma" w:cs="Tahoma"/>
              </w:rPr>
              <w:t>, указанным в статье 8 «</w:t>
            </w:r>
            <w:r w:rsidRPr="0010472F">
              <w:rPr>
                <w:rFonts w:ascii="Tahoma" w:hAnsi="Tahoma" w:cs="Tahoma"/>
              </w:rPr>
              <w:t>Для оперативной связи</w:t>
            </w:r>
            <w:r>
              <w:rPr>
                <w:rFonts w:ascii="Tahoma" w:hAnsi="Tahoma" w:cs="Tahoma"/>
              </w:rPr>
              <w:t>» договора</w:t>
            </w:r>
            <w:r w:rsidRPr="00B1743D">
              <w:rPr>
                <w:rFonts w:ascii="Tahoma" w:hAnsi="Tahoma" w:cs="Tahoma"/>
              </w:rPr>
              <w:t>.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>Изменение данных представителей допустимо осуществлять на основании официальных писем, подписанных лицом, уполномоченным подписывать договор.</w:t>
            </w:r>
          </w:p>
          <w:p w:rsidR="00A44EEF" w:rsidRPr="00B1743D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B1743D">
              <w:rPr>
                <w:rFonts w:ascii="Tahoma" w:hAnsi="Tahoma" w:cs="Tahoma"/>
              </w:rPr>
              <w:t>Реквизит «</w:t>
            </w:r>
            <w:r w:rsidR="005A059C">
              <w:rPr>
                <w:rFonts w:ascii="Tahoma" w:hAnsi="Tahoma" w:cs="Tahoma"/>
              </w:rPr>
              <w:t>д</w:t>
            </w:r>
            <w:r w:rsidRPr="00B1743D">
              <w:rPr>
                <w:rFonts w:ascii="Tahoma" w:hAnsi="Tahoma" w:cs="Tahoma"/>
              </w:rPr>
              <w:t xml:space="preserve">ата договора», указанный в шапке договора или в иных реквизитах договора, подлежит удалению до отправки договора на подписание. </w:t>
            </w:r>
            <w:r w:rsidRPr="00B1743D">
              <w:rPr>
                <w:rFonts w:ascii="Tahoma" w:eastAsia="Tahoma" w:hAnsi="Tahoma" w:cs="Tahoma"/>
              </w:rPr>
              <w:t xml:space="preserve">Дата договора должна быть удалена, в том числе, во всех приложениях к </w:t>
            </w:r>
            <w:r w:rsidR="005A059C">
              <w:rPr>
                <w:rFonts w:ascii="Tahoma" w:eastAsia="Tahoma" w:hAnsi="Tahoma" w:cs="Tahoma"/>
              </w:rPr>
              <w:t>д</w:t>
            </w:r>
            <w:r w:rsidRPr="00B1743D">
              <w:rPr>
                <w:rFonts w:ascii="Tahoma" w:eastAsia="Tahoma" w:hAnsi="Tahoma" w:cs="Tahoma"/>
              </w:rPr>
              <w:t>оговору.</w:t>
            </w:r>
            <w:r w:rsidRPr="00B1743D">
              <w:rPr>
                <w:rFonts w:ascii="Tahoma" w:hAnsi="Tahoma" w:cs="Tahoma"/>
              </w:rPr>
              <w:t xml:space="preserve"> При осуществлении подписания договора рядом с подписью уполномоченного лица сторона проставляет дату фактического подписания договора. Для определения реквизита «дата договора» стороны принимают наиболее позднюю дату, указанную рядом с подписью уполномоченного лица.</w:t>
            </w:r>
          </w:p>
          <w:p w:rsidR="00A44EEF" w:rsidRPr="008A2449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B90D4B">
              <w:rPr>
                <w:rFonts w:ascii="Tahoma" w:eastAsia="Tahoma" w:hAnsi="Tahoma" w:cs="Tahoma"/>
              </w:rPr>
              <w:t>Выполнение условий, предусмотренных договором для порядка подписания договора путем обмена сканированными экземплярами, является надлежащим и достаточным для заключения договора. Предоставление другой стороне бумажного экземпляра подписанного договора не требуется.</w:t>
            </w:r>
          </w:p>
        </w:tc>
      </w:tr>
    </w:tbl>
    <w:p w:rsidR="00776979" w:rsidRDefault="00776979"/>
    <w:p w:rsidR="006743E9" w:rsidRPr="006743E9" w:rsidRDefault="006743E9" w:rsidP="001B48F5">
      <w:pPr>
        <w:rPr>
          <w:rFonts w:ascii="Tahoma" w:hAnsi="Tahoma" w:cs="Tahoma"/>
        </w:rPr>
      </w:pPr>
    </w:p>
    <w:sectPr w:rsidR="006743E9" w:rsidRPr="006743E9" w:rsidSect="007C2430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D1" w:rsidRDefault="00DF0F96">
      <w:pPr>
        <w:spacing w:after="0" w:line="240" w:lineRule="auto"/>
      </w:pPr>
      <w:r>
        <w:separator/>
      </w:r>
    </w:p>
  </w:endnote>
  <w:endnote w:type="continuationSeparator" w:id="0">
    <w:p w:rsidR="00977BD1" w:rsidRDefault="00DF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D1" w:rsidRDefault="00DF0F96">
      <w:pPr>
        <w:spacing w:after="0" w:line="240" w:lineRule="auto"/>
      </w:pPr>
      <w:r>
        <w:separator/>
      </w:r>
    </w:p>
  </w:footnote>
  <w:footnote w:type="continuationSeparator" w:id="0">
    <w:p w:rsidR="00977BD1" w:rsidRDefault="00DF0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ECF"/>
    <w:multiLevelType w:val="hybridMultilevel"/>
    <w:tmpl w:val="DD7A3BD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D2A36"/>
    <w:multiLevelType w:val="hybridMultilevel"/>
    <w:tmpl w:val="3A3CA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064D0"/>
    <w:multiLevelType w:val="multilevel"/>
    <w:tmpl w:val="2C8200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3" w15:restartNumberingAfterBreak="0">
    <w:nsid w:val="181753C9"/>
    <w:multiLevelType w:val="hybridMultilevel"/>
    <w:tmpl w:val="4C56E110"/>
    <w:lvl w:ilvl="0" w:tplc="0EEE12F2">
      <w:start w:val="1"/>
      <w:numFmt w:val="decimal"/>
      <w:lvlText w:val="4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E7AD1"/>
    <w:multiLevelType w:val="hybridMultilevel"/>
    <w:tmpl w:val="0AEE9C24"/>
    <w:lvl w:ilvl="0" w:tplc="B4000E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71F91"/>
    <w:multiLevelType w:val="hybridMultilevel"/>
    <w:tmpl w:val="E210279C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5FB"/>
    <w:multiLevelType w:val="hybridMultilevel"/>
    <w:tmpl w:val="61AEB7B6"/>
    <w:lvl w:ilvl="0" w:tplc="7D0248A6">
      <w:start w:val="1"/>
      <w:numFmt w:val="decimal"/>
      <w:lvlText w:val="7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77DE2"/>
    <w:multiLevelType w:val="hybridMultilevel"/>
    <w:tmpl w:val="EBF0DA88"/>
    <w:lvl w:ilvl="0" w:tplc="1A94EAD8">
      <w:start w:val="1"/>
      <w:numFmt w:val="decimal"/>
      <w:lvlText w:val="2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40E5"/>
    <w:multiLevelType w:val="hybridMultilevel"/>
    <w:tmpl w:val="1494D1F2"/>
    <w:lvl w:ilvl="0" w:tplc="6F8CC752">
      <w:start w:val="1"/>
      <w:numFmt w:val="decimal"/>
      <w:lvlText w:val="3.%1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B662E"/>
    <w:multiLevelType w:val="hybridMultilevel"/>
    <w:tmpl w:val="EE62C270"/>
    <w:lvl w:ilvl="0" w:tplc="D0BEBF4C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4AAC"/>
    <w:multiLevelType w:val="hybridMultilevel"/>
    <w:tmpl w:val="665654B6"/>
    <w:lvl w:ilvl="0" w:tplc="1B341D60">
      <w:start w:val="1"/>
      <w:numFmt w:val="decimal"/>
      <w:lvlText w:val="%1)"/>
      <w:lvlJc w:val="left"/>
      <w:pPr>
        <w:ind w:left="92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1" w15:restartNumberingAfterBreak="0">
    <w:nsid w:val="3C9A2340"/>
    <w:multiLevelType w:val="multilevel"/>
    <w:tmpl w:val="302C6A8E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B30DAF"/>
    <w:multiLevelType w:val="hybridMultilevel"/>
    <w:tmpl w:val="3DB483B8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6082B"/>
    <w:multiLevelType w:val="hybridMultilevel"/>
    <w:tmpl w:val="DF9E7442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A5C52"/>
    <w:multiLevelType w:val="hybridMultilevel"/>
    <w:tmpl w:val="0CBAAB02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C5B98"/>
    <w:multiLevelType w:val="hybridMultilevel"/>
    <w:tmpl w:val="6586396A"/>
    <w:lvl w:ilvl="0" w:tplc="084CAB2E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10F47"/>
    <w:multiLevelType w:val="hybridMultilevel"/>
    <w:tmpl w:val="5DBECB3C"/>
    <w:lvl w:ilvl="0" w:tplc="E1D2C490">
      <w:start w:val="1"/>
      <w:numFmt w:val="decimal"/>
      <w:lvlText w:val="5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B09F4"/>
    <w:multiLevelType w:val="hybridMultilevel"/>
    <w:tmpl w:val="1C9AA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63EB9"/>
    <w:multiLevelType w:val="multilevel"/>
    <w:tmpl w:val="FD3C92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DD74B3E"/>
    <w:multiLevelType w:val="hybridMultilevel"/>
    <w:tmpl w:val="A77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76048"/>
    <w:multiLevelType w:val="hybridMultilevel"/>
    <w:tmpl w:val="C330B852"/>
    <w:lvl w:ilvl="0" w:tplc="EBF4ABBC">
      <w:start w:val="1"/>
      <w:numFmt w:val="decimal"/>
      <w:lvlText w:val="6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536EC"/>
    <w:multiLevelType w:val="multilevel"/>
    <w:tmpl w:val="22DC9CC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636911F8"/>
    <w:multiLevelType w:val="hybridMultilevel"/>
    <w:tmpl w:val="71703A3E"/>
    <w:lvl w:ilvl="0" w:tplc="4A54D1C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E3135"/>
    <w:multiLevelType w:val="hybridMultilevel"/>
    <w:tmpl w:val="3C24A02A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847B0"/>
    <w:multiLevelType w:val="hybridMultilevel"/>
    <w:tmpl w:val="CFEC08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2767082"/>
    <w:multiLevelType w:val="hybridMultilevel"/>
    <w:tmpl w:val="FCEEFFFC"/>
    <w:lvl w:ilvl="0" w:tplc="766ED4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A53C27"/>
    <w:multiLevelType w:val="hybridMultilevel"/>
    <w:tmpl w:val="D172BB9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D7E34"/>
    <w:multiLevelType w:val="hybridMultilevel"/>
    <w:tmpl w:val="F65A6612"/>
    <w:lvl w:ilvl="0" w:tplc="4A784AD4">
      <w:start w:val="1"/>
      <w:numFmt w:val="bullet"/>
      <w:lvlText w:val="-"/>
      <w:lvlJc w:val="left"/>
      <w:pPr>
        <w:ind w:left="1500" w:hanging="360"/>
      </w:pPr>
      <w:rPr>
        <w:rFonts w:ascii="Tahoma" w:hAnsi="Tahoma" w:hint="default"/>
        <w:b w:val="0"/>
        <w:vanish w:val="0"/>
        <w:sz w:val="2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E8E6B7F"/>
    <w:multiLevelType w:val="hybridMultilevel"/>
    <w:tmpl w:val="DAF234A8"/>
    <w:lvl w:ilvl="0" w:tplc="79C616B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24"/>
  </w:num>
  <w:num w:numId="5">
    <w:abstractNumId w:val="18"/>
  </w:num>
  <w:num w:numId="6">
    <w:abstractNumId w:val="4"/>
  </w:num>
  <w:num w:numId="7">
    <w:abstractNumId w:val="25"/>
  </w:num>
  <w:num w:numId="8">
    <w:abstractNumId w:val="26"/>
  </w:num>
  <w:num w:numId="9">
    <w:abstractNumId w:val="17"/>
  </w:num>
  <w:num w:numId="10">
    <w:abstractNumId w:val="12"/>
  </w:num>
  <w:num w:numId="11">
    <w:abstractNumId w:val="15"/>
  </w:num>
  <w:num w:numId="12">
    <w:abstractNumId w:val="9"/>
  </w:num>
  <w:num w:numId="13">
    <w:abstractNumId w:val="21"/>
  </w:num>
  <w:num w:numId="14">
    <w:abstractNumId w:val="7"/>
  </w:num>
  <w:num w:numId="15">
    <w:abstractNumId w:val="8"/>
  </w:num>
  <w:num w:numId="16">
    <w:abstractNumId w:val="3"/>
  </w:num>
  <w:num w:numId="17">
    <w:abstractNumId w:val="16"/>
  </w:num>
  <w:num w:numId="18">
    <w:abstractNumId w:val="20"/>
  </w:num>
  <w:num w:numId="19">
    <w:abstractNumId w:val="6"/>
  </w:num>
  <w:num w:numId="20">
    <w:abstractNumId w:val="5"/>
  </w:num>
  <w:num w:numId="21">
    <w:abstractNumId w:val="22"/>
  </w:num>
  <w:num w:numId="22">
    <w:abstractNumId w:val="13"/>
  </w:num>
  <w:num w:numId="23">
    <w:abstractNumId w:val="23"/>
  </w:num>
  <w:num w:numId="24">
    <w:abstractNumId w:val="28"/>
  </w:num>
  <w:num w:numId="25">
    <w:abstractNumId w:val="0"/>
  </w:num>
  <w:num w:numId="26">
    <w:abstractNumId w:val="19"/>
  </w:num>
  <w:num w:numId="27">
    <w:abstractNumId w:val="10"/>
  </w:num>
  <w:num w:numId="28">
    <w:abstractNumId w:val="14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37"/>
    <w:rsid w:val="00086B8B"/>
    <w:rsid w:val="00090C53"/>
    <w:rsid w:val="000B1EA7"/>
    <w:rsid w:val="000B6ADB"/>
    <w:rsid w:val="000E3E1F"/>
    <w:rsid w:val="0010472F"/>
    <w:rsid w:val="00116D86"/>
    <w:rsid w:val="00124F7D"/>
    <w:rsid w:val="00174986"/>
    <w:rsid w:val="001815A1"/>
    <w:rsid w:val="001909EA"/>
    <w:rsid w:val="001B1B10"/>
    <w:rsid w:val="001B48F5"/>
    <w:rsid w:val="001C16FC"/>
    <w:rsid w:val="001D6E92"/>
    <w:rsid w:val="001E5955"/>
    <w:rsid w:val="00201130"/>
    <w:rsid w:val="002112B2"/>
    <w:rsid w:val="0025766F"/>
    <w:rsid w:val="00262ABE"/>
    <w:rsid w:val="002847C8"/>
    <w:rsid w:val="002C02BB"/>
    <w:rsid w:val="003165A5"/>
    <w:rsid w:val="003258B0"/>
    <w:rsid w:val="00341A40"/>
    <w:rsid w:val="00347335"/>
    <w:rsid w:val="00406E59"/>
    <w:rsid w:val="00410688"/>
    <w:rsid w:val="00413E5B"/>
    <w:rsid w:val="00495936"/>
    <w:rsid w:val="004B0715"/>
    <w:rsid w:val="004C0D69"/>
    <w:rsid w:val="004C5E9D"/>
    <w:rsid w:val="004F4E0D"/>
    <w:rsid w:val="005024AF"/>
    <w:rsid w:val="005211D1"/>
    <w:rsid w:val="005828A0"/>
    <w:rsid w:val="00596140"/>
    <w:rsid w:val="005A059C"/>
    <w:rsid w:val="005F2C03"/>
    <w:rsid w:val="005F5FB3"/>
    <w:rsid w:val="00602469"/>
    <w:rsid w:val="00610F80"/>
    <w:rsid w:val="0061518A"/>
    <w:rsid w:val="00635EB1"/>
    <w:rsid w:val="006475AB"/>
    <w:rsid w:val="0066645C"/>
    <w:rsid w:val="006743E9"/>
    <w:rsid w:val="006A5237"/>
    <w:rsid w:val="0070348B"/>
    <w:rsid w:val="00733C30"/>
    <w:rsid w:val="00761A5E"/>
    <w:rsid w:val="00765ECC"/>
    <w:rsid w:val="00776979"/>
    <w:rsid w:val="007C2430"/>
    <w:rsid w:val="007E0180"/>
    <w:rsid w:val="007F4763"/>
    <w:rsid w:val="00823BB9"/>
    <w:rsid w:val="008542D4"/>
    <w:rsid w:val="00876AE3"/>
    <w:rsid w:val="008A2449"/>
    <w:rsid w:val="008B4C76"/>
    <w:rsid w:val="008B4E45"/>
    <w:rsid w:val="008B7B77"/>
    <w:rsid w:val="008C6F20"/>
    <w:rsid w:val="008D6497"/>
    <w:rsid w:val="008E2EAF"/>
    <w:rsid w:val="0092560B"/>
    <w:rsid w:val="0093533E"/>
    <w:rsid w:val="00974B52"/>
    <w:rsid w:val="00977BD1"/>
    <w:rsid w:val="00997235"/>
    <w:rsid w:val="009D0978"/>
    <w:rsid w:val="00A159A2"/>
    <w:rsid w:val="00A319C5"/>
    <w:rsid w:val="00A44EEF"/>
    <w:rsid w:val="00A91EF2"/>
    <w:rsid w:val="00AA37C6"/>
    <w:rsid w:val="00AD3468"/>
    <w:rsid w:val="00B0396D"/>
    <w:rsid w:val="00B3231E"/>
    <w:rsid w:val="00B47494"/>
    <w:rsid w:val="00B64B55"/>
    <w:rsid w:val="00B903FA"/>
    <w:rsid w:val="00B91567"/>
    <w:rsid w:val="00BA65E2"/>
    <w:rsid w:val="00C76F59"/>
    <w:rsid w:val="00C77862"/>
    <w:rsid w:val="00CB2284"/>
    <w:rsid w:val="00CE2F5E"/>
    <w:rsid w:val="00CF0371"/>
    <w:rsid w:val="00DC3845"/>
    <w:rsid w:val="00DF0F96"/>
    <w:rsid w:val="00E202AC"/>
    <w:rsid w:val="00E3752C"/>
    <w:rsid w:val="00E44693"/>
    <w:rsid w:val="00E5307B"/>
    <w:rsid w:val="00E67C48"/>
    <w:rsid w:val="00E82114"/>
    <w:rsid w:val="00E82D7C"/>
    <w:rsid w:val="00E914D5"/>
    <w:rsid w:val="00EE373E"/>
    <w:rsid w:val="00F17D13"/>
    <w:rsid w:val="00F376D4"/>
    <w:rsid w:val="00F727A8"/>
    <w:rsid w:val="00FC3905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FFA0F14"/>
  <w15:chartTrackingRefBased/>
  <w15:docId w15:val="{41AAD0C8-FC91-4F07-AF6F-D6F3ADD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5A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NTTimes/Cyrillic" w:eastAsia="Times New Roman" w:hAnsi="NTTimes/Cyrillic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610F80"/>
    <w:rPr>
      <w:color w:val="0563C1" w:themeColor="hyperlink"/>
      <w:u w:val="single"/>
    </w:rPr>
  </w:style>
  <w:style w:type="paragraph" w:customStyle="1" w:styleId="a6">
    <w:name w:val="Предмет договора"/>
    <w:basedOn w:val="a"/>
    <w:rsid w:val="00635EB1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7">
    <w:name w:val="header"/>
    <w:aliases w:val="??????? ??????????"/>
    <w:basedOn w:val="a"/>
    <w:link w:val="a8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??????? ?????????? Знак"/>
    <w:basedOn w:val="a0"/>
    <w:link w:val="a7"/>
    <w:uiPriority w:val="99"/>
    <w:rsid w:val="008B4C76"/>
  </w:style>
  <w:style w:type="paragraph" w:styleId="a9">
    <w:name w:val="footer"/>
    <w:basedOn w:val="a"/>
    <w:link w:val="aa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4C76"/>
  </w:style>
  <w:style w:type="character" w:styleId="ab">
    <w:name w:val="annotation reference"/>
    <w:basedOn w:val="a0"/>
    <w:semiHidden/>
    <w:unhideWhenUsed/>
    <w:rsid w:val="005828A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828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828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8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8A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8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28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7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rubezhneft.ru/ru/zakupki/dokumen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4337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Пузырева Татьяна Андреевна</dc:creator>
  <cp:keywords/>
  <dc:description/>
  <cp:lastModifiedBy>Барков Иван Михайлович</cp:lastModifiedBy>
  <cp:revision>2</cp:revision>
  <dcterms:created xsi:type="dcterms:W3CDTF">2024-08-28T15:44:00Z</dcterms:created>
  <dcterms:modified xsi:type="dcterms:W3CDTF">2024-08-28T15:44:00Z</dcterms:modified>
</cp:coreProperties>
</file>